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1C999" w14:textId="77777777" w:rsidR="00A628B5" w:rsidRDefault="00A628B5">
      <w:pPr>
        <w:rPr>
          <w:rFonts w:ascii="Arial" w:eastAsia="Arial" w:hAnsi="Arial" w:cs="Arial"/>
          <w:b/>
          <w:sz w:val="36"/>
          <w:szCs w:val="36"/>
        </w:rPr>
      </w:pPr>
    </w:p>
    <w:p w14:paraId="30A1C99A" w14:textId="77777777" w:rsidR="00A628B5" w:rsidRDefault="00726FC7">
      <w:pPr>
        <w:rPr>
          <w:rFonts w:ascii="Arial" w:eastAsia="Arial" w:hAnsi="Arial" w:cs="Arial"/>
          <w:b/>
          <w:sz w:val="36"/>
          <w:szCs w:val="36"/>
        </w:rPr>
      </w:pPr>
      <w:r>
        <w:rPr>
          <w:rFonts w:ascii="Arial" w:eastAsia="Arial" w:hAnsi="Arial" w:cs="Arial"/>
          <w:b/>
          <w:sz w:val="36"/>
          <w:szCs w:val="36"/>
        </w:rPr>
        <w:t>Joint Schedule 1 (Definitions)</w:t>
      </w:r>
    </w:p>
    <w:p w14:paraId="30A1C99B" w14:textId="77777777" w:rsidR="00A628B5" w:rsidRDefault="00726FC7">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30A1C99C" w14:textId="77777777" w:rsidR="00A628B5" w:rsidRDefault="00726FC7">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w:t>
      </w:r>
      <w:r>
        <w:rPr>
          <w:rFonts w:ascii="Arial" w:eastAsia="Arial" w:hAnsi="Arial" w:cs="Arial"/>
          <w:color w:val="000000"/>
          <w:sz w:val="24"/>
          <w:szCs w:val="24"/>
        </w:rPr>
        <w:t xml:space="preserve"> have an interpretation in this Schedule or any other Schedule, it shall, in the first instance, be interpreted in accordance with the common interpretation within the relevant market sector/industry where appropriate. Otherwise, it shall be interpreted in</w:t>
      </w:r>
      <w:r>
        <w:rPr>
          <w:rFonts w:ascii="Arial" w:eastAsia="Arial" w:hAnsi="Arial" w:cs="Arial"/>
          <w:color w:val="000000"/>
          <w:sz w:val="24"/>
          <w:szCs w:val="24"/>
        </w:rPr>
        <w:t xml:space="preserve"> accordance with the dictionary meaning.</w:t>
      </w:r>
    </w:p>
    <w:p w14:paraId="30A1C99D" w14:textId="77777777" w:rsidR="00A628B5" w:rsidRDefault="00726FC7">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30A1C99E"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the singular includes the plural and </w:t>
      </w:r>
      <w:proofErr w:type="gramStart"/>
      <w:r>
        <w:rPr>
          <w:rFonts w:ascii="Arial" w:eastAsia="Arial" w:hAnsi="Arial" w:cs="Arial"/>
          <w:color w:val="000000"/>
          <w:sz w:val="24"/>
          <w:szCs w:val="24"/>
        </w:rPr>
        <w:t>vice versa;</w:t>
      </w:r>
      <w:proofErr w:type="gramEnd"/>
    </w:p>
    <w:p w14:paraId="30A1C99F"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 to a gender includes the other gender and the </w:t>
      </w:r>
      <w:proofErr w:type="gramStart"/>
      <w:r>
        <w:rPr>
          <w:rFonts w:ascii="Arial" w:eastAsia="Arial" w:hAnsi="Arial" w:cs="Arial"/>
          <w:color w:val="000000"/>
          <w:sz w:val="24"/>
          <w:szCs w:val="24"/>
        </w:rPr>
        <w:t>neuter;</w:t>
      </w:r>
      <w:proofErr w:type="gramEnd"/>
    </w:p>
    <w:p w14:paraId="30A1C9A0"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w:t>
      </w:r>
      <w:r>
        <w:rPr>
          <w:rFonts w:ascii="Arial" w:eastAsia="Arial" w:hAnsi="Arial" w:cs="Arial"/>
          <w:color w:val="000000"/>
          <w:sz w:val="24"/>
          <w:szCs w:val="24"/>
        </w:rPr>
        <w:t xml:space="preserve"> company, body corporate, corporation, unincorporated association, firm, partnership or other legal entity or Central Government </w:t>
      </w:r>
      <w:proofErr w:type="gramStart"/>
      <w:r>
        <w:rPr>
          <w:rFonts w:ascii="Arial" w:eastAsia="Arial" w:hAnsi="Arial" w:cs="Arial"/>
          <w:color w:val="000000"/>
          <w:sz w:val="24"/>
          <w:szCs w:val="24"/>
        </w:rPr>
        <w:t>Body;</w:t>
      </w:r>
      <w:proofErr w:type="gramEnd"/>
    </w:p>
    <w:p w14:paraId="30A1C9A1"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or re-enacted from time to </w:t>
      </w:r>
      <w:proofErr w:type="gramStart"/>
      <w:r>
        <w:rPr>
          <w:rFonts w:ascii="Arial" w:eastAsia="Arial" w:hAnsi="Arial" w:cs="Arial"/>
          <w:color w:val="000000"/>
          <w:sz w:val="24"/>
          <w:szCs w:val="24"/>
        </w:rPr>
        <w:t>tim</w:t>
      </w:r>
      <w:r>
        <w:rPr>
          <w:rFonts w:ascii="Arial" w:eastAsia="Arial" w:hAnsi="Arial" w:cs="Arial"/>
          <w:color w:val="000000"/>
          <w:sz w:val="24"/>
          <w:szCs w:val="24"/>
        </w:rPr>
        <w:t>e;</w:t>
      </w:r>
      <w:proofErr w:type="gramEnd"/>
    </w:p>
    <w:p w14:paraId="30A1C9A2"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proofErr w:type="gramStart"/>
      <w:r>
        <w:rPr>
          <w:rFonts w:ascii="Arial" w:eastAsia="Arial" w:hAnsi="Arial" w:cs="Arial"/>
          <w:color w:val="000000"/>
          <w:sz w:val="24"/>
          <w:szCs w:val="24"/>
        </w:rPr>
        <w:t>";</w:t>
      </w:r>
      <w:proofErr w:type="gramEnd"/>
    </w:p>
    <w:p w14:paraId="30A1C9A3"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Pr>
          <w:rFonts w:ascii="Arial" w:eastAsia="Arial" w:hAnsi="Arial" w:cs="Arial"/>
          <w:color w:val="000000"/>
          <w:sz w:val="24"/>
          <w:szCs w:val="24"/>
        </w:rPr>
        <w:t>accordingly;</w:t>
      </w:r>
      <w:proofErr w:type="gramEnd"/>
    </w:p>
    <w:p w14:paraId="30A1C9A4"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w:t>
      </w:r>
      <w:r>
        <w:rPr>
          <w:rFonts w:ascii="Arial" w:eastAsia="Arial" w:hAnsi="Arial" w:cs="Arial"/>
          <w:color w:val="000000"/>
          <w:sz w:val="24"/>
          <w:szCs w:val="24"/>
        </w:rPr>
        <w:t>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30A1C9A5"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w:t>
      </w:r>
      <w:r>
        <w:rPr>
          <w:rFonts w:ascii="Arial" w:eastAsia="Arial" w:hAnsi="Arial" w:cs="Arial"/>
          <w:color w:val="000000"/>
          <w:sz w:val="24"/>
          <w:szCs w:val="24"/>
        </w:rPr>
        <w:t xml:space="preserve">ables of the Schedule in which these references </w:t>
      </w:r>
      <w:proofErr w:type="gramStart"/>
      <w:r>
        <w:rPr>
          <w:rFonts w:ascii="Arial" w:eastAsia="Arial" w:hAnsi="Arial" w:cs="Arial"/>
          <w:color w:val="000000"/>
          <w:sz w:val="24"/>
          <w:szCs w:val="24"/>
        </w:rPr>
        <w:t>appear;</w:t>
      </w:r>
      <w:proofErr w:type="gramEnd"/>
      <w:r>
        <w:rPr>
          <w:rFonts w:ascii="Arial" w:eastAsia="Arial" w:hAnsi="Arial" w:cs="Arial"/>
          <w:color w:val="000000"/>
          <w:sz w:val="24"/>
          <w:szCs w:val="24"/>
        </w:rPr>
        <w:t xml:space="preserve"> </w:t>
      </w:r>
    </w:p>
    <w:p w14:paraId="30A1C9A6"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w:t>
      </w: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w:t>
      </w:r>
    </w:p>
    <w:p w14:paraId="30A1C9A7"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w:t>
      </w:r>
      <w:r>
        <w:rPr>
          <w:rFonts w:ascii="Arial" w:eastAsia="Arial" w:hAnsi="Arial" w:cs="Arial"/>
          <w:color w:val="000000"/>
          <w:sz w:val="24"/>
          <w:szCs w:val="24"/>
        </w:rPr>
        <w:t xml:space="preserve">e inclusive of the clause numbers </w:t>
      </w:r>
      <w:proofErr w:type="gramStart"/>
      <w:r>
        <w:rPr>
          <w:rFonts w:ascii="Arial" w:eastAsia="Arial" w:hAnsi="Arial" w:cs="Arial"/>
          <w:color w:val="000000"/>
          <w:sz w:val="24"/>
          <w:szCs w:val="24"/>
        </w:rPr>
        <w:t>specified;</w:t>
      </w:r>
      <w:proofErr w:type="gramEnd"/>
    </w:p>
    <w:p w14:paraId="30A1C9A8"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30A1C9A9"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in entering into a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the Relevant Authority is acting as part of the Crown; and</w:t>
      </w:r>
    </w:p>
    <w:p w14:paraId="30A1C9AA" w14:textId="77777777" w:rsidR="00A628B5" w:rsidRDefault="00A628B5">
      <w:pPr>
        <w:pBdr>
          <w:top w:val="nil"/>
          <w:left w:val="nil"/>
          <w:bottom w:val="nil"/>
          <w:right w:val="nil"/>
          <w:between w:val="nil"/>
        </w:pBdr>
        <w:tabs>
          <w:tab w:val="left" w:pos="1985"/>
          <w:tab w:val="left" w:pos="2127"/>
        </w:tabs>
        <w:spacing w:before="120" w:after="120" w:line="240" w:lineRule="auto"/>
        <w:ind w:left="720" w:hanging="360"/>
        <w:jc w:val="both"/>
        <w:rPr>
          <w:rFonts w:ascii="Arial" w:eastAsia="Arial" w:hAnsi="Arial" w:cs="Arial"/>
          <w:color w:val="000000"/>
          <w:sz w:val="24"/>
          <w:szCs w:val="24"/>
        </w:rPr>
      </w:pPr>
    </w:p>
    <w:p w14:paraId="30A1C9AB"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30A1C9AC" w14:textId="77777777" w:rsidR="00A628B5" w:rsidRDefault="00726FC7">
      <w:pPr>
        <w:numPr>
          <w:ilvl w:val="3"/>
          <w:numId w:val="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w:t>
      </w:r>
      <w:r>
        <w:rPr>
          <w:rFonts w:ascii="Arial" w:eastAsia="Arial" w:hAnsi="Arial" w:cs="Arial"/>
          <w:color w:val="000000"/>
          <w:sz w:val="24"/>
          <w:szCs w:val="24"/>
        </w:rPr>
        <w:t xml:space="preserve"> a reference to the EU References as they form part of domestic law by virtue of section 3 of the European Union (Withdrawal) Act 2018 as modified by domestic law from time to time; and</w:t>
      </w:r>
    </w:p>
    <w:p w14:paraId="30A1C9AD" w14:textId="77777777" w:rsidR="00A628B5" w:rsidRDefault="00726FC7">
      <w:pPr>
        <w:numPr>
          <w:ilvl w:val="3"/>
          <w:numId w:val="4"/>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w:t>
      </w:r>
      <w:r>
        <w:rPr>
          <w:rFonts w:ascii="Arial" w:eastAsia="Arial" w:hAnsi="Arial" w:cs="Arial"/>
          <w:color w:val="000000"/>
          <w:sz w:val="24"/>
          <w:szCs w:val="24"/>
        </w:rPr>
        <w:t xml:space="preserve"> on and after Exit Day as a reference to the UK institution, </w:t>
      </w:r>
      <w:proofErr w:type="gramStart"/>
      <w:r>
        <w:rPr>
          <w:rFonts w:ascii="Arial" w:eastAsia="Arial" w:hAnsi="Arial" w:cs="Arial"/>
          <w:color w:val="000000"/>
          <w:sz w:val="24"/>
          <w:szCs w:val="24"/>
        </w:rPr>
        <w:t>authority</w:t>
      </w:r>
      <w:proofErr w:type="gramEnd"/>
      <w:r>
        <w:rPr>
          <w:rFonts w:ascii="Arial" w:eastAsia="Arial" w:hAnsi="Arial" w:cs="Arial"/>
          <w:color w:val="000000"/>
          <w:sz w:val="24"/>
          <w:szCs w:val="24"/>
        </w:rPr>
        <w:t xml:space="preserve"> or body to which its functions were transferred; and</w:t>
      </w:r>
    </w:p>
    <w:p w14:paraId="30A1C9AE"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30A1C9AF" w14:textId="77777777" w:rsidR="00A628B5" w:rsidRDefault="00726FC7">
      <w:pPr>
        <w:numPr>
          <w:ilvl w:val="2"/>
          <w:numId w:val="4"/>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unless otherwise provided, refer</w:t>
      </w:r>
      <w:r>
        <w:rPr>
          <w:rFonts w:ascii="Arial" w:eastAsia="Arial" w:hAnsi="Arial" w:cs="Arial"/>
          <w:color w:val="000000"/>
          <w:sz w:val="24"/>
          <w:szCs w:val="24"/>
        </w:rPr>
        <w:t>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30A1C9B0" w14:textId="77777777" w:rsidR="00A628B5" w:rsidRDefault="00A628B5">
      <w:pPr>
        <w:numPr>
          <w:ilvl w:val="2"/>
          <w:numId w:val="4"/>
        </w:numPr>
        <w:pBdr>
          <w:top w:val="nil"/>
          <w:left w:val="nil"/>
          <w:bottom w:val="nil"/>
          <w:right w:val="nil"/>
          <w:between w:val="nil"/>
        </w:pBdr>
        <w:tabs>
          <w:tab w:val="left" w:pos="1985"/>
          <w:tab w:val="left" w:pos="2127"/>
        </w:tabs>
        <w:spacing w:before="120" w:after="120" w:line="240" w:lineRule="auto"/>
        <w:jc w:val="both"/>
      </w:pPr>
    </w:p>
    <w:p w14:paraId="30A1C9B1" w14:textId="77777777" w:rsidR="00A628B5" w:rsidRDefault="00726FC7">
      <w:pPr>
        <w:numPr>
          <w:ilvl w:val="1"/>
          <w:numId w:val="4"/>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30A1C9B2" w14:textId="77777777" w:rsidR="00A628B5" w:rsidRDefault="00A628B5">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9747"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A628B5" w14:paraId="30A1C9B5" w14:textId="77777777">
        <w:tc>
          <w:tcPr>
            <w:tcW w:w="2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A1C9B3" w14:textId="77777777" w:rsidR="00A628B5" w:rsidRDefault="00726FC7">
            <w:pPr>
              <w:spacing w:before="240" w:after="240"/>
              <w:rPr>
                <w:rFonts w:ascii="Arial" w:eastAsia="Arial" w:hAnsi="Arial" w:cs="Arial"/>
                <w:b/>
                <w:sz w:val="24"/>
                <w:szCs w:val="24"/>
              </w:rPr>
            </w:pPr>
            <w:bookmarkStart w:id="2" w:name="_heading=h.1fob9te" w:colFirst="0" w:colLast="0"/>
            <w:bookmarkEnd w:id="2"/>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0A1C9B4" w14:textId="77777777" w:rsidR="00A628B5" w:rsidRDefault="00726FC7">
            <w:pPr>
              <w:tabs>
                <w:tab w:val="left" w:pos="-179"/>
                <w:tab w:val="left" w:pos="-9"/>
              </w:tabs>
              <w:spacing w:before="240" w:after="240"/>
              <w:ind w:left="320" w:hanging="160"/>
              <w:jc w:val="both"/>
              <w:rPr>
                <w:rFonts w:ascii="Arial" w:eastAsia="Arial" w:hAnsi="Arial" w:cs="Arial"/>
                <w:sz w:val="24"/>
                <w:szCs w:val="24"/>
              </w:rPr>
            </w:pPr>
            <w:r>
              <w:rPr>
                <w:rFonts w:ascii="Arial" w:eastAsia="Arial" w:hAnsi="Arial" w:cs="Arial"/>
                <w:sz w:val="14"/>
                <w:szCs w:val="14"/>
              </w:rPr>
              <w:t xml:space="preserve">     </w:t>
            </w:r>
            <w:r>
              <w:rPr>
                <w:rFonts w:ascii="Arial" w:eastAsia="Arial" w:hAnsi="Arial" w:cs="Arial"/>
                <w:sz w:val="24"/>
                <w:szCs w:val="24"/>
              </w:rPr>
              <w:t>means in each year the date to which the Supplier prepares its annual audited financial statements;</w:t>
            </w:r>
          </w:p>
        </w:tc>
      </w:tr>
      <w:tr w:rsidR="00A628B5" w14:paraId="30A1C9B8" w14:textId="77777777">
        <w:tc>
          <w:tcPr>
            <w:tcW w:w="2405" w:type="dxa"/>
          </w:tcPr>
          <w:p w14:paraId="30A1C9B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bookmarkStart w:id="3" w:name="_heading=h.efem3jhdrn5" w:colFirst="0" w:colLast="0"/>
            <w:bookmarkEnd w:id="3"/>
            <w:r>
              <w:rPr>
                <w:rFonts w:ascii="Arial" w:eastAsia="Arial" w:hAnsi="Arial" w:cs="Arial"/>
                <w:b/>
                <w:color w:val="000000"/>
                <w:sz w:val="24"/>
                <w:szCs w:val="24"/>
              </w:rPr>
              <w:t>"Achieve"</w:t>
            </w:r>
          </w:p>
        </w:tc>
        <w:tc>
          <w:tcPr>
            <w:tcW w:w="7342" w:type="dxa"/>
          </w:tcPr>
          <w:p w14:paraId="30A1C9B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w:t>
            </w:r>
            <w:r>
              <w:rPr>
                <w:rFonts w:ascii="Arial" w:eastAsia="Arial" w:hAnsi="Arial" w:cs="Arial"/>
                <w:color w:val="000000"/>
                <w:sz w:val="24"/>
                <w:szCs w:val="24"/>
              </w:rPr>
              <w:t>rdingly;</w:t>
            </w:r>
            <w:proofErr w:type="gramEnd"/>
          </w:p>
        </w:tc>
      </w:tr>
      <w:tr w:rsidR="00A628B5" w14:paraId="30A1C9BB" w14:textId="77777777">
        <w:tc>
          <w:tcPr>
            <w:tcW w:w="2405" w:type="dxa"/>
          </w:tcPr>
          <w:p w14:paraId="30A1C9B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30A1C9B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628B5" w14:paraId="30A1C9BE" w14:textId="77777777">
        <w:tc>
          <w:tcPr>
            <w:tcW w:w="2405" w:type="dxa"/>
          </w:tcPr>
          <w:p w14:paraId="30A1C9B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30A1C9B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w:t>
            </w:r>
            <w:r>
              <w:rPr>
                <w:rFonts w:ascii="Arial" w:eastAsia="Arial" w:hAnsi="Arial" w:cs="Arial"/>
                <w:color w:val="000000"/>
                <w:sz w:val="24"/>
                <w:szCs w:val="24"/>
              </w:rPr>
              <w:t xml:space="preserve"> with the tariff of administration charges published by the CCS on: http://CCS.cabinetoffice.gov.uk/i-am-supplier/management-information/admin-fees;</w:t>
            </w:r>
          </w:p>
        </w:tc>
      </w:tr>
      <w:tr w:rsidR="00A628B5" w14:paraId="30A1C9C1" w14:textId="77777777">
        <w:tc>
          <w:tcPr>
            <w:tcW w:w="2405" w:type="dxa"/>
          </w:tcPr>
          <w:p w14:paraId="30A1C9B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30A1C9C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628B5" w14:paraId="30A1C9C4" w14:textId="77777777">
        <w:tc>
          <w:tcPr>
            <w:tcW w:w="2405" w:type="dxa"/>
          </w:tcPr>
          <w:p w14:paraId="30A1C9C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30A1C9C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A628B5" w14:paraId="30A1C9C7" w14:textId="77777777">
        <w:tc>
          <w:tcPr>
            <w:tcW w:w="2405" w:type="dxa"/>
          </w:tcPr>
          <w:p w14:paraId="30A1C9C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“Agent(s)”</w:t>
            </w:r>
          </w:p>
        </w:tc>
        <w:tc>
          <w:tcPr>
            <w:tcW w:w="7342" w:type="dxa"/>
          </w:tcPr>
          <w:p w14:paraId="30A1C9C6" w14:textId="77777777" w:rsidR="00A628B5" w:rsidRDefault="00726FC7">
            <w:pPr>
              <w:spacing w:line="276" w:lineRule="auto"/>
              <w:rPr>
                <w:rFonts w:ascii="Arial" w:eastAsia="Arial" w:hAnsi="Arial" w:cs="Arial"/>
                <w:color w:val="000000"/>
                <w:sz w:val="24"/>
                <w:szCs w:val="24"/>
              </w:rPr>
            </w:pPr>
            <w:r>
              <w:rPr>
                <w:rFonts w:ascii="Arial" w:eastAsia="Arial" w:hAnsi="Arial" w:cs="Arial"/>
                <w:sz w:val="24"/>
                <w:szCs w:val="24"/>
              </w:rPr>
              <w:t>means the individual (s) delivering the service</w:t>
            </w:r>
          </w:p>
        </w:tc>
      </w:tr>
      <w:tr w:rsidR="00A628B5" w14:paraId="30A1C9CA" w14:textId="77777777">
        <w:tc>
          <w:tcPr>
            <w:tcW w:w="2405" w:type="dxa"/>
          </w:tcPr>
          <w:p w14:paraId="30A1C9C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“AI”</w:t>
            </w:r>
          </w:p>
        </w:tc>
        <w:tc>
          <w:tcPr>
            <w:tcW w:w="7342" w:type="dxa"/>
          </w:tcPr>
          <w:p w14:paraId="30A1C9C9"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Artificial Intelligence;</w:t>
            </w:r>
          </w:p>
        </w:tc>
      </w:tr>
      <w:tr w:rsidR="00A628B5" w14:paraId="30A1C9CD" w14:textId="77777777">
        <w:tc>
          <w:tcPr>
            <w:tcW w:w="2405" w:type="dxa"/>
          </w:tcPr>
          <w:p w14:paraId="30A1C9C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“Allowable Assumptions”</w:t>
            </w:r>
          </w:p>
        </w:tc>
        <w:tc>
          <w:tcPr>
            <w:tcW w:w="7342" w:type="dxa"/>
          </w:tcPr>
          <w:p w14:paraId="30A1C9C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the assumptions (if any) set out in Annex 2 of Framework Schedule 3; </w:t>
            </w:r>
          </w:p>
        </w:tc>
      </w:tr>
      <w:tr w:rsidR="00A628B5" w14:paraId="30A1C9D0" w14:textId="77777777">
        <w:tc>
          <w:tcPr>
            <w:tcW w:w="2405" w:type="dxa"/>
          </w:tcPr>
          <w:p w14:paraId="30A1C9C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30A1C9C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628B5" w14:paraId="30A1C9D3" w14:textId="77777777">
        <w:tc>
          <w:tcPr>
            <w:tcW w:w="2405" w:type="dxa"/>
          </w:tcPr>
          <w:p w14:paraId="30A1C9D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30A1C9D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A628B5" w14:paraId="30A1C9D6" w14:textId="77777777">
        <w:tc>
          <w:tcPr>
            <w:tcW w:w="2405" w:type="dxa"/>
          </w:tcPr>
          <w:p w14:paraId="30A1C9D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“Assistive Technologies”</w:t>
            </w:r>
          </w:p>
        </w:tc>
        <w:tc>
          <w:tcPr>
            <w:tcW w:w="7342" w:type="dxa"/>
          </w:tcPr>
          <w:p w14:paraId="30A1C9D5"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sz w:val="24"/>
                <w:szCs w:val="24"/>
              </w:rPr>
            </w:pPr>
            <w:r>
              <w:rPr>
                <w:rFonts w:ascii="Arial" w:eastAsia="Arial" w:hAnsi="Arial" w:cs="Arial"/>
                <w:sz w:val="24"/>
                <w:szCs w:val="24"/>
              </w:rPr>
              <w:t xml:space="preserve">describes products or systems that support and assist individuals with disabilities, restricted </w:t>
            </w:r>
            <w:proofErr w:type="gramStart"/>
            <w:r>
              <w:rPr>
                <w:rFonts w:ascii="Arial" w:eastAsia="Arial" w:hAnsi="Arial" w:cs="Arial"/>
                <w:sz w:val="24"/>
                <w:szCs w:val="24"/>
              </w:rPr>
              <w:t>mobility</w:t>
            </w:r>
            <w:proofErr w:type="gramEnd"/>
            <w:r>
              <w:rPr>
                <w:rFonts w:ascii="Arial" w:eastAsia="Arial" w:hAnsi="Arial" w:cs="Arial"/>
                <w:sz w:val="24"/>
                <w:szCs w:val="24"/>
              </w:rPr>
              <w:t xml:space="preserve"> or other impairments to perform functions that might otherwise be difficult or impossible;</w:t>
            </w:r>
          </w:p>
        </w:tc>
      </w:tr>
      <w:tr w:rsidR="00A628B5" w14:paraId="30A1C9E6" w14:textId="77777777">
        <w:tc>
          <w:tcPr>
            <w:tcW w:w="2405" w:type="dxa"/>
          </w:tcPr>
          <w:p w14:paraId="30A1C9D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30A1C9D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30A1C9D9"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of the Charges and any other amounts payable by a Buyer under a Call-Off Contract (including proposed or actual variations to them in accordance with the Contract</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30A1C9DA"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w:t>
            </w:r>
            <w:r>
              <w:rPr>
                <w:rFonts w:ascii="Arial" w:eastAsia="Arial" w:hAnsi="Arial" w:cs="Arial"/>
                <w:color w:val="000000"/>
                <w:sz w:val="24"/>
                <w:szCs w:val="24"/>
              </w:rPr>
              <w:t xml:space="preserve">including the costs of all Subcontractors and any third party suppliers) in connection with the provision of the </w:t>
            </w:r>
            <w:proofErr w:type="gramStart"/>
            <w:r>
              <w:rPr>
                <w:rFonts w:ascii="Arial" w:eastAsia="Arial" w:hAnsi="Arial" w:cs="Arial"/>
                <w:color w:val="000000"/>
                <w:sz w:val="24"/>
                <w:szCs w:val="24"/>
              </w:rPr>
              <w:t>Deliverables;</w:t>
            </w:r>
            <w:proofErr w:type="gramEnd"/>
          </w:p>
          <w:p w14:paraId="30A1C9DB"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Open Book </w:t>
            </w:r>
            <w:proofErr w:type="gramStart"/>
            <w:r>
              <w:rPr>
                <w:rFonts w:ascii="Arial" w:eastAsia="Arial" w:hAnsi="Arial" w:cs="Arial"/>
                <w:color w:val="000000"/>
                <w:sz w:val="24"/>
                <w:szCs w:val="24"/>
              </w:rPr>
              <w:t>Data;</w:t>
            </w:r>
            <w:proofErr w:type="gramEnd"/>
          </w:p>
          <w:p w14:paraId="30A1C9DC"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Supplier’s and each Subcontractor’s compliance with the Contract and applicable </w:t>
            </w:r>
            <w:proofErr w:type="gramStart"/>
            <w:r>
              <w:rPr>
                <w:rFonts w:ascii="Arial" w:eastAsia="Arial" w:hAnsi="Arial" w:cs="Arial"/>
                <w:color w:val="000000"/>
                <w:sz w:val="24"/>
                <w:szCs w:val="24"/>
              </w:rPr>
              <w:t>Law;</w:t>
            </w:r>
            <w:proofErr w:type="gramEnd"/>
          </w:p>
          <w:p w14:paraId="30A1C9DD"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w:t>
            </w:r>
            <w:r>
              <w:rPr>
                <w:rFonts w:ascii="Arial" w:eastAsia="Arial" w:hAnsi="Arial" w:cs="Arial"/>
                <w:color w:val="000000"/>
                <w:sz w:val="24"/>
                <w:szCs w:val="24"/>
              </w:rPr>
              <w:t xml:space="preserve">fy or investigate actual or suspected breach of Clauses 27 to 33 and/or Joint Schedule 5 (Corporate Social Responsibility), impropriety or accounting mistakes or any breach or threatened breach of security and in these circumstances the Relevant Authority </w:t>
            </w:r>
            <w:r>
              <w:rPr>
                <w:rFonts w:ascii="Arial" w:eastAsia="Arial" w:hAnsi="Arial" w:cs="Arial"/>
                <w:color w:val="000000"/>
                <w:sz w:val="24"/>
                <w:szCs w:val="24"/>
              </w:rPr>
              <w:t xml:space="preserve">shall have no obligation to inform the Supplier of the purpose or objective of its </w:t>
            </w:r>
            <w:proofErr w:type="gramStart"/>
            <w:r>
              <w:rPr>
                <w:rFonts w:ascii="Arial" w:eastAsia="Arial" w:hAnsi="Arial" w:cs="Arial"/>
                <w:color w:val="000000"/>
                <w:sz w:val="24"/>
                <w:szCs w:val="24"/>
              </w:rPr>
              <w:t>investigations;</w:t>
            </w:r>
            <w:proofErr w:type="gramEnd"/>
          </w:p>
          <w:p w14:paraId="30A1C9DE"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w:t>
            </w:r>
            <w:r>
              <w:rPr>
                <w:rFonts w:ascii="Arial" w:eastAsia="Arial" w:hAnsi="Arial" w:cs="Arial"/>
                <w:color w:val="000000"/>
                <w:sz w:val="24"/>
                <w:szCs w:val="24"/>
              </w:rPr>
              <w:t xml:space="preserve">ility to provide the </w:t>
            </w:r>
            <w:proofErr w:type="gramStart"/>
            <w:r>
              <w:rPr>
                <w:rFonts w:ascii="Arial" w:eastAsia="Arial" w:hAnsi="Arial" w:cs="Arial"/>
                <w:color w:val="000000"/>
                <w:sz w:val="24"/>
                <w:szCs w:val="24"/>
              </w:rPr>
              <w:t>Deliverables;</w:t>
            </w:r>
            <w:proofErr w:type="gramEnd"/>
          </w:p>
          <w:p w14:paraId="30A1C9DF"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Relevant Authority’s obligations to supply information for parliamentary, ministerial, judicial or administrative purposes including the supply of information to the Comptroller and Auditor </w:t>
            </w:r>
            <w:proofErr w:type="gramStart"/>
            <w:r>
              <w:rPr>
                <w:rFonts w:ascii="Arial" w:eastAsia="Arial" w:hAnsi="Arial" w:cs="Arial"/>
                <w:color w:val="000000"/>
                <w:sz w:val="24"/>
                <w:szCs w:val="24"/>
              </w:rPr>
              <w:t>General;</w:t>
            </w:r>
            <w:proofErr w:type="gramEnd"/>
          </w:p>
          <w:p w14:paraId="30A1C9E0"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w:t>
            </w:r>
            <w:r>
              <w:rPr>
                <w:rFonts w:ascii="Arial" w:eastAsia="Arial" w:hAnsi="Arial" w:cs="Arial"/>
                <w:color w:val="000000"/>
                <w:sz w:val="24"/>
                <w:szCs w:val="24"/>
              </w:rPr>
              <w:t xml:space="preserve">iew any books of account and the internal contract management accounts kept by the Supplier in connection with each </w:t>
            </w:r>
            <w:proofErr w:type="gramStart"/>
            <w:r>
              <w:rPr>
                <w:rFonts w:ascii="Arial" w:eastAsia="Arial" w:hAnsi="Arial" w:cs="Arial"/>
                <w:color w:val="000000"/>
                <w:sz w:val="24"/>
                <w:szCs w:val="24"/>
              </w:rPr>
              <w:t>Contract;</w:t>
            </w:r>
            <w:proofErr w:type="gramEnd"/>
          </w:p>
          <w:p w14:paraId="30A1C9E1"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w:t>
            </w:r>
            <w:r>
              <w:rPr>
                <w:rFonts w:ascii="Arial" w:eastAsia="Arial" w:hAnsi="Arial" w:cs="Arial"/>
                <w:color w:val="000000"/>
                <w:sz w:val="24"/>
                <w:szCs w:val="24"/>
              </w:rPr>
              <w:t xml:space="preserve">nnual and interim reports and </w:t>
            </w:r>
            <w:proofErr w:type="gramStart"/>
            <w:r>
              <w:rPr>
                <w:rFonts w:ascii="Arial" w:eastAsia="Arial" w:hAnsi="Arial" w:cs="Arial"/>
                <w:color w:val="000000"/>
                <w:sz w:val="24"/>
                <w:szCs w:val="24"/>
              </w:rPr>
              <w:t>accounts;</w:t>
            </w:r>
            <w:proofErr w:type="gramEnd"/>
          </w:p>
          <w:p w14:paraId="30A1C9E2"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economy, </w:t>
            </w:r>
            <w:proofErr w:type="gramStart"/>
            <w:r>
              <w:rPr>
                <w:rFonts w:ascii="Arial" w:eastAsia="Arial" w:hAnsi="Arial" w:cs="Arial"/>
                <w:color w:val="000000"/>
                <w:sz w:val="24"/>
                <w:szCs w:val="24"/>
              </w:rPr>
              <w:t>efficiency</w:t>
            </w:r>
            <w:proofErr w:type="gramEnd"/>
            <w:r>
              <w:rPr>
                <w:rFonts w:ascii="Arial" w:eastAsia="Arial" w:hAnsi="Arial" w:cs="Arial"/>
                <w:color w:val="000000"/>
                <w:sz w:val="24"/>
                <w:szCs w:val="24"/>
              </w:rPr>
              <w:t xml:space="preserve"> and effectiveness with which the Relevant Authority has used its resourc</w:t>
            </w:r>
            <w:r>
              <w:rPr>
                <w:rFonts w:ascii="Arial" w:eastAsia="Arial" w:hAnsi="Arial" w:cs="Arial"/>
                <w:color w:val="000000"/>
                <w:sz w:val="24"/>
                <w:szCs w:val="24"/>
              </w:rPr>
              <w:t>es; or</w:t>
            </w:r>
          </w:p>
          <w:p w14:paraId="30A1C9E3" w14:textId="77777777" w:rsidR="00A628B5" w:rsidRDefault="00726FC7">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14:paraId="30A1C9E4" w14:textId="77777777" w:rsidR="00A628B5" w:rsidRDefault="00726FC7">
            <w:pPr>
              <w:numPr>
                <w:ilvl w:val="2"/>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14:paraId="30A1C9E5" w14:textId="77777777" w:rsidR="00A628B5" w:rsidRDefault="00726FC7">
            <w:pPr>
              <w:numPr>
                <w:ilvl w:val="2"/>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Financial Report and compliance with Financial Transparency Objectives as specified by the Buyer in the Order Form;</w:t>
            </w:r>
          </w:p>
        </w:tc>
      </w:tr>
      <w:tr w:rsidR="00A628B5" w14:paraId="30A1C9EE" w14:textId="77777777">
        <w:tc>
          <w:tcPr>
            <w:tcW w:w="2405" w:type="dxa"/>
          </w:tcPr>
          <w:p w14:paraId="30A1C9E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7342" w:type="dxa"/>
          </w:tcPr>
          <w:p w14:paraId="30A1C9E8" w14:textId="77777777" w:rsidR="00A628B5" w:rsidRDefault="00726FC7">
            <w:pPr>
              <w:numPr>
                <w:ilvl w:val="0"/>
                <w:numId w:val="1"/>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internal and external </w:t>
            </w:r>
            <w:proofErr w:type="gramStart"/>
            <w:r>
              <w:rPr>
                <w:rFonts w:ascii="Arial" w:eastAsia="Arial" w:hAnsi="Arial" w:cs="Arial"/>
                <w:color w:val="000000"/>
                <w:sz w:val="24"/>
                <w:szCs w:val="24"/>
              </w:rPr>
              <w:t>auditors;</w:t>
            </w:r>
            <w:proofErr w:type="gramEnd"/>
          </w:p>
          <w:p w14:paraId="30A1C9E9" w14:textId="77777777" w:rsidR="00A628B5" w:rsidRDefault="00726FC7">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statutory or regulatory </w:t>
            </w:r>
            <w:proofErr w:type="gramStart"/>
            <w:r>
              <w:rPr>
                <w:rFonts w:ascii="Arial" w:eastAsia="Arial" w:hAnsi="Arial" w:cs="Arial"/>
                <w:color w:val="000000"/>
                <w:sz w:val="24"/>
                <w:szCs w:val="24"/>
              </w:rPr>
              <w:t>auditors;</w:t>
            </w:r>
            <w:proofErr w:type="gramEnd"/>
          </w:p>
          <w:p w14:paraId="30A1C9EA" w14:textId="77777777" w:rsidR="00A628B5" w:rsidRDefault="00726FC7">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the Comptroller and Auditor General, their staff and/or any appointed representatives of the National Audit </w:t>
            </w:r>
            <w:proofErr w:type="gramStart"/>
            <w:r>
              <w:rPr>
                <w:rFonts w:ascii="Arial" w:eastAsia="Arial" w:hAnsi="Arial" w:cs="Arial"/>
                <w:color w:val="000000"/>
                <w:sz w:val="24"/>
                <w:szCs w:val="24"/>
              </w:rPr>
              <w:t>Office;</w:t>
            </w:r>
            <w:proofErr w:type="gramEnd"/>
          </w:p>
          <w:p w14:paraId="30A1C9EB" w14:textId="77777777" w:rsidR="00A628B5" w:rsidRDefault="00726FC7">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HM Treasury or the Cabinet </w:t>
            </w:r>
            <w:proofErr w:type="gramStart"/>
            <w:r>
              <w:rPr>
                <w:rFonts w:ascii="Arial" w:eastAsia="Arial" w:hAnsi="Arial" w:cs="Arial"/>
                <w:color w:val="000000"/>
                <w:sz w:val="24"/>
                <w:szCs w:val="24"/>
              </w:rPr>
              <w:t>Office;</w:t>
            </w:r>
            <w:proofErr w:type="gramEnd"/>
          </w:p>
          <w:p w14:paraId="30A1C9EC" w14:textId="77777777" w:rsidR="00A628B5" w:rsidRDefault="00726FC7">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w:t>
            </w:r>
            <w:r>
              <w:rPr>
                <w:rFonts w:ascii="Arial" w:eastAsia="Arial" w:hAnsi="Arial" w:cs="Arial"/>
                <w:color w:val="000000"/>
                <w:sz w:val="24"/>
                <w:szCs w:val="24"/>
              </w:rPr>
              <w:t>uthority to carry out audit or similar review functions; and</w:t>
            </w:r>
          </w:p>
          <w:p w14:paraId="30A1C9ED" w14:textId="77777777" w:rsidR="00A628B5" w:rsidRDefault="00726FC7">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628B5" w14:paraId="30A1C9F1" w14:textId="77777777">
        <w:trPr>
          <w:trHeight w:val="601"/>
        </w:trPr>
        <w:tc>
          <w:tcPr>
            <w:tcW w:w="2405" w:type="dxa"/>
          </w:tcPr>
          <w:p w14:paraId="30A1C9E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30A1C9F0" w14:textId="77777777" w:rsidR="00A628B5" w:rsidRDefault="00726FC7">
            <w:pPr>
              <w:rPr>
                <w:rFonts w:ascii="Arial" w:eastAsia="Arial" w:hAnsi="Arial" w:cs="Arial"/>
                <w:sz w:val="24"/>
                <w:szCs w:val="24"/>
              </w:rPr>
            </w:pPr>
            <w:r>
              <w:rPr>
                <w:rFonts w:ascii="Arial" w:eastAsia="Arial" w:hAnsi="Arial" w:cs="Arial"/>
                <w:sz w:val="24"/>
                <w:szCs w:val="24"/>
              </w:rPr>
              <w:t xml:space="preserve">   CCS and each Buyer;</w:t>
            </w:r>
          </w:p>
        </w:tc>
      </w:tr>
      <w:tr w:rsidR="00A628B5" w14:paraId="30A1C9F4" w14:textId="77777777">
        <w:tc>
          <w:tcPr>
            <w:tcW w:w="2405" w:type="dxa"/>
          </w:tcPr>
          <w:p w14:paraId="30A1C9F2" w14:textId="77777777" w:rsidR="00A628B5" w:rsidRDefault="00726FC7">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30A1C9F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Relevant Authority or any other default, act, omission, </w:t>
            </w:r>
            <w:proofErr w:type="gramStart"/>
            <w:r>
              <w:rPr>
                <w:rFonts w:ascii="Arial" w:eastAsia="Arial" w:hAnsi="Arial" w:cs="Arial"/>
                <w:color w:val="000000"/>
                <w:sz w:val="24"/>
                <w:szCs w:val="24"/>
              </w:rPr>
              <w:t>negligence</w:t>
            </w:r>
            <w:proofErr w:type="gramEnd"/>
            <w:r>
              <w:rPr>
                <w:rFonts w:ascii="Arial" w:eastAsia="Arial" w:hAnsi="Arial" w:cs="Arial"/>
                <w:color w:val="000000"/>
                <w:sz w:val="24"/>
                <w:szCs w:val="24"/>
              </w:rPr>
              <w:t xml:space="preserv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A628B5" w14:paraId="30A1C9F7" w14:textId="77777777">
        <w:tc>
          <w:tcPr>
            <w:tcW w:w="2405" w:type="dxa"/>
          </w:tcPr>
          <w:p w14:paraId="30A1C9F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“Back Office Processing”</w:t>
            </w:r>
          </w:p>
        </w:tc>
        <w:tc>
          <w:tcPr>
            <w:tcW w:w="7342" w:type="dxa"/>
          </w:tcPr>
          <w:p w14:paraId="30A1C9F6" w14:textId="77777777" w:rsidR="00A628B5" w:rsidRDefault="00726FC7">
            <w:pPr>
              <w:spacing w:line="276" w:lineRule="auto"/>
              <w:rPr>
                <w:rFonts w:ascii="Arial" w:eastAsia="Arial" w:hAnsi="Arial" w:cs="Arial"/>
                <w:sz w:val="24"/>
                <w:szCs w:val="24"/>
              </w:rPr>
            </w:pPr>
            <w:r>
              <w:rPr>
                <w:rFonts w:ascii="Arial" w:eastAsia="Arial" w:hAnsi="Arial" w:cs="Arial"/>
                <w:sz w:val="24"/>
                <w:szCs w:val="24"/>
              </w:rPr>
              <w:t>administrative functions carried out either manually or automated not requiring front line contact;</w:t>
            </w:r>
          </w:p>
        </w:tc>
      </w:tr>
      <w:tr w:rsidR="00A628B5" w14:paraId="30A1C9FA" w14:textId="77777777">
        <w:tc>
          <w:tcPr>
            <w:tcW w:w="2405" w:type="dxa"/>
          </w:tcPr>
          <w:p w14:paraId="30A1C9F8" w14:textId="77777777" w:rsidR="00A628B5" w:rsidRDefault="00726FC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“Back-pay”</w:t>
            </w:r>
          </w:p>
        </w:tc>
        <w:tc>
          <w:tcPr>
            <w:tcW w:w="7342" w:type="dxa"/>
          </w:tcPr>
          <w:p w14:paraId="30A1C9F9" w14:textId="77777777" w:rsidR="00A628B5" w:rsidRDefault="00726FC7">
            <w:pPr>
              <w:spacing w:line="276" w:lineRule="auto"/>
              <w:rPr>
                <w:rFonts w:ascii="Arial" w:eastAsia="Arial" w:hAnsi="Arial" w:cs="Arial"/>
                <w:sz w:val="24"/>
                <w:szCs w:val="24"/>
              </w:rPr>
            </w:pPr>
            <w:r>
              <w:rPr>
                <w:rFonts w:ascii="Arial" w:eastAsia="Arial" w:hAnsi="Arial" w:cs="Arial"/>
                <w:sz w:val="24"/>
                <w:szCs w:val="24"/>
              </w:rPr>
              <w:t>is the amount of salary and other benefits that an employee claims that they are owed after a wrongful termination;</w:t>
            </w:r>
          </w:p>
        </w:tc>
      </w:tr>
      <w:tr w:rsidR="00A628B5" w14:paraId="30A1C9FD" w14:textId="77777777">
        <w:tc>
          <w:tcPr>
            <w:tcW w:w="2405" w:type="dxa"/>
          </w:tcPr>
          <w:p w14:paraId="30A1C9F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30A1C9F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628B5" w14:paraId="30A1CA00" w14:textId="77777777">
        <w:tc>
          <w:tcPr>
            <w:tcW w:w="2405" w:type="dxa"/>
          </w:tcPr>
          <w:p w14:paraId="30A1C9F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30A1C9F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628B5" w14:paraId="30A1CA03" w14:textId="77777777">
        <w:tc>
          <w:tcPr>
            <w:tcW w:w="2405" w:type="dxa"/>
          </w:tcPr>
          <w:p w14:paraId="30A1CA0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30A1CA0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w:t>
            </w:r>
            <w:r>
              <w:rPr>
                <w:rFonts w:ascii="Arial" w:eastAsia="Arial" w:hAnsi="Arial" w:cs="Arial"/>
                <w:color w:val="000000"/>
                <w:sz w:val="24"/>
                <w:szCs w:val="24"/>
              </w:rPr>
              <w:t xml:space="preserve"> relevant public sector purchaser identified as such in the Order Form;</w:t>
            </w:r>
          </w:p>
        </w:tc>
      </w:tr>
      <w:tr w:rsidR="00A628B5" w14:paraId="30A1CA06" w14:textId="77777777">
        <w:tc>
          <w:tcPr>
            <w:tcW w:w="2405" w:type="dxa"/>
          </w:tcPr>
          <w:p w14:paraId="30A1CA04"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30A1CA0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w:t>
            </w:r>
            <w:proofErr w:type="gramStart"/>
            <w:r>
              <w:rPr>
                <w:rFonts w:ascii="Arial" w:eastAsia="Arial" w:hAnsi="Arial" w:cs="Arial"/>
                <w:color w:val="000000"/>
                <w:sz w:val="24"/>
                <w:szCs w:val="24"/>
              </w:rPr>
              <w:t>equipment</w:t>
            </w:r>
            <w:proofErr w:type="gramEnd"/>
            <w:r>
              <w:rPr>
                <w:rFonts w:ascii="Arial" w:eastAsia="Arial" w:hAnsi="Arial" w:cs="Arial"/>
                <w:color w:val="000000"/>
                <w:sz w:val="24"/>
                <w:szCs w:val="24"/>
              </w:rPr>
              <w:t xml:space="preserve">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A628B5" w14:paraId="30A1CA09" w14:textId="77777777">
        <w:tc>
          <w:tcPr>
            <w:tcW w:w="2405" w:type="dxa"/>
          </w:tcPr>
          <w:p w14:paraId="30A1CA0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30A1CA0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628B5" w14:paraId="30A1CA0C" w14:textId="77777777">
        <w:tc>
          <w:tcPr>
            <w:tcW w:w="2405" w:type="dxa"/>
          </w:tcPr>
          <w:p w14:paraId="30A1CA0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30A1CA0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premises owned, </w:t>
            </w:r>
            <w:proofErr w:type="gramStart"/>
            <w:r>
              <w:rPr>
                <w:rFonts w:ascii="Arial" w:eastAsia="Arial" w:hAnsi="Arial" w:cs="Arial"/>
                <w:color w:val="000000"/>
                <w:sz w:val="24"/>
                <w:szCs w:val="24"/>
              </w:rPr>
              <w:t>controlled</w:t>
            </w:r>
            <w:proofErr w:type="gramEnd"/>
            <w:r>
              <w:rPr>
                <w:rFonts w:ascii="Arial" w:eastAsia="Arial" w:hAnsi="Arial" w:cs="Arial"/>
                <w:color w:val="000000"/>
                <w:sz w:val="24"/>
                <w:szCs w:val="24"/>
              </w:rPr>
              <w:t xml:space="preserve"> or occupied by the Buyer which are made available for use by the Supplier </w:t>
            </w:r>
            <w:r>
              <w:rPr>
                <w:rFonts w:ascii="Arial" w:eastAsia="Arial" w:hAnsi="Arial" w:cs="Arial"/>
                <w:color w:val="000000"/>
                <w:sz w:val="24"/>
                <w:szCs w:val="24"/>
              </w:rPr>
              <w:t>or its Subcontractors for the provision of the Deliverables (or any of them);</w:t>
            </w:r>
          </w:p>
        </w:tc>
      </w:tr>
      <w:tr w:rsidR="00A628B5" w14:paraId="30A1CA0F" w14:textId="77777777">
        <w:tc>
          <w:tcPr>
            <w:tcW w:w="2405" w:type="dxa"/>
          </w:tcPr>
          <w:p w14:paraId="30A1CA0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14:paraId="30A1CA0E"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any third party supplier providing deliverables to the Buyer</w:t>
            </w:r>
          </w:p>
        </w:tc>
      </w:tr>
      <w:tr w:rsidR="00A628B5" w14:paraId="30A1CA12" w14:textId="77777777">
        <w:tc>
          <w:tcPr>
            <w:tcW w:w="2405" w:type="dxa"/>
          </w:tcPr>
          <w:p w14:paraId="30A1CA1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30A1CA1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628B5" w14:paraId="30A1CA15" w14:textId="77777777">
        <w:tc>
          <w:tcPr>
            <w:tcW w:w="2405" w:type="dxa"/>
          </w:tcPr>
          <w:p w14:paraId="30A1CA1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30A1CA1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A628B5" w14:paraId="30A1CA18" w14:textId="77777777">
        <w:tc>
          <w:tcPr>
            <w:tcW w:w="2405" w:type="dxa"/>
          </w:tcPr>
          <w:p w14:paraId="30A1CA1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30A1CA1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A628B5" w14:paraId="30A1CA1B" w14:textId="77777777">
        <w:tc>
          <w:tcPr>
            <w:tcW w:w="2405" w:type="dxa"/>
          </w:tcPr>
          <w:p w14:paraId="30A1CA1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30A1CA1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628B5" w14:paraId="30A1CA1E" w14:textId="77777777">
        <w:tc>
          <w:tcPr>
            <w:tcW w:w="2405" w:type="dxa"/>
          </w:tcPr>
          <w:p w14:paraId="30A1CA1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30A1CA1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628B5" w14:paraId="30A1CA21" w14:textId="77777777">
        <w:tc>
          <w:tcPr>
            <w:tcW w:w="2405" w:type="dxa"/>
          </w:tcPr>
          <w:p w14:paraId="30A1CA1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30A1CA2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A628B5" w14:paraId="30A1CA24" w14:textId="77777777">
        <w:tc>
          <w:tcPr>
            <w:tcW w:w="2405" w:type="dxa"/>
          </w:tcPr>
          <w:p w14:paraId="30A1CA2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30A1CA2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A628B5" w14:paraId="30A1CA27" w14:textId="77777777">
        <w:tc>
          <w:tcPr>
            <w:tcW w:w="2405" w:type="dxa"/>
          </w:tcPr>
          <w:p w14:paraId="30A1CA2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30A1CA2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628B5" w14:paraId="30A1CA2A" w14:textId="77777777">
        <w:tc>
          <w:tcPr>
            <w:tcW w:w="2405" w:type="dxa"/>
          </w:tcPr>
          <w:p w14:paraId="30A1CA2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30A1CA2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628B5" w14:paraId="30A1CA2D" w14:textId="77777777">
        <w:tc>
          <w:tcPr>
            <w:tcW w:w="2405" w:type="dxa"/>
          </w:tcPr>
          <w:p w14:paraId="30A1CA2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30A1CA2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w:t>
            </w:r>
            <w:r>
              <w:rPr>
                <w:rFonts w:ascii="Arial" w:eastAsia="Arial" w:hAnsi="Arial" w:cs="Arial"/>
                <w:color w:val="000000"/>
                <w:sz w:val="24"/>
                <w:szCs w:val="24"/>
              </w:rPr>
              <w:t xml:space="preserve"> Supplier in response to the Buyer’s Statement of Requirements following a Further Competition Procedure and set out at Call-Off Schedule 4 (Call-Off Tender);</w:t>
            </w:r>
          </w:p>
        </w:tc>
      </w:tr>
      <w:tr w:rsidR="00A628B5" w14:paraId="30A1CA30" w14:textId="77777777">
        <w:tc>
          <w:tcPr>
            <w:tcW w:w="2405" w:type="dxa"/>
          </w:tcPr>
          <w:p w14:paraId="30A1CA2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30A1CA2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628B5" w14:paraId="30A1CA33" w14:textId="77777777">
        <w:tc>
          <w:tcPr>
            <w:tcW w:w="2405" w:type="dxa"/>
          </w:tcPr>
          <w:p w14:paraId="30A1CA3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7342" w:type="dxa"/>
          </w:tcPr>
          <w:p w14:paraId="30A1CA3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628B5" w14:paraId="30A1CA3A" w14:textId="77777777">
        <w:tc>
          <w:tcPr>
            <w:tcW w:w="2405" w:type="dxa"/>
          </w:tcPr>
          <w:p w14:paraId="30A1CA34"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30A1CA3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30A1CA36" w14:textId="77777777" w:rsidR="00A628B5" w:rsidRDefault="00726FC7">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 xml:space="preserve">Government </w:t>
            </w:r>
            <w:proofErr w:type="gramStart"/>
            <w:r>
              <w:rPr>
                <w:rFonts w:ascii="Arial" w:eastAsia="Arial" w:hAnsi="Arial" w:cs="Arial"/>
                <w:color w:val="000000"/>
                <w:sz w:val="24"/>
                <w:szCs w:val="24"/>
              </w:rPr>
              <w:t>Department;</w:t>
            </w:r>
            <w:proofErr w:type="gramEnd"/>
          </w:p>
          <w:p w14:paraId="30A1CA37"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roofErr w:type="gramStart"/>
            <w:r>
              <w:rPr>
                <w:rFonts w:ascii="Arial" w:eastAsia="Arial" w:hAnsi="Arial" w:cs="Arial"/>
                <w:color w:val="000000"/>
                <w:sz w:val="24"/>
                <w:szCs w:val="24"/>
              </w:rPr>
              <w:t>);</w:t>
            </w:r>
            <w:proofErr w:type="gramEnd"/>
          </w:p>
          <w:p w14:paraId="30A1CA38" w14:textId="77777777" w:rsidR="00A628B5" w:rsidRDefault="00726FC7">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30A1CA39" w14:textId="77777777" w:rsidR="00A628B5" w:rsidRDefault="00726FC7">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628B5" w14:paraId="30A1CA3D" w14:textId="77777777">
        <w:tc>
          <w:tcPr>
            <w:tcW w:w="2405" w:type="dxa"/>
          </w:tcPr>
          <w:p w14:paraId="30A1CA3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30A1CA3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628B5" w14:paraId="30A1CA40" w14:textId="77777777">
        <w:tc>
          <w:tcPr>
            <w:tcW w:w="2405" w:type="dxa"/>
          </w:tcPr>
          <w:p w14:paraId="30A1CA3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30A1CA3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628B5" w14:paraId="30A1CA43" w14:textId="77777777">
        <w:tc>
          <w:tcPr>
            <w:tcW w:w="2405" w:type="dxa"/>
          </w:tcPr>
          <w:p w14:paraId="30A1CA4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7342" w:type="dxa"/>
          </w:tcPr>
          <w:p w14:paraId="30A1CA42" w14:textId="77777777" w:rsidR="00A628B5" w:rsidRDefault="00726FC7">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A628B5" w14:paraId="30A1CA46" w14:textId="77777777">
        <w:tc>
          <w:tcPr>
            <w:tcW w:w="2405" w:type="dxa"/>
          </w:tcPr>
          <w:p w14:paraId="30A1CA4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30A1CA4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628B5" w14:paraId="30A1CA49" w14:textId="77777777">
        <w:tc>
          <w:tcPr>
            <w:tcW w:w="2405" w:type="dxa"/>
          </w:tcPr>
          <w:p w14:paraId="30A1CA4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“Collaborative Working Principles”</w:t>
            </w:r>
          </w:p>
        </w:tc>
        <w:tc>
          <w:tcPr>
            <w:tcW w:w="7342" w:type="dxa"/>
          </w:tcPr>
          <w:p w14:paraId="30A1CA4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principles set out in Clause 3.1.3;</w:t>
            </w:r>
          </w:p>
        </w:tc>
      </w:tr>
      <w:tr w:rsidR="00A628B5" w14:paraId="30A1CA4C" w14:textId="77777777">
        <w:tc>
          <w:tcPr>
            <w:tcW w:w="2405" w:type="dxa"/>
          </w:tcPr>
          <w:p w14:paraId="30A1CA4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“Commercial Off-the-shelf (COTS)”</w:t>
            </w:r>
          </w:p>
        </w:tc>
        <w:tc>
          <w:tcPr>
            <w:tcW w:w="7342" w:type="dxa"/>
          </w:tcPr>
          <w:p w14:paraId="30A1CA4B"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A628B5" w14:paraId="30A1CA4F" w14:textId="77777777">
        <w:tc>
          <w:tcPr>
            <w:tcW w:w="2405" w:type="dxa"/>
          </w:tcPr>
          <w:p w14:paraId="30A1CA4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30A1CA4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A628B5" w14:paraId="30A1CA52" w14:textId="77777777">
        <w:tc>
          <w:tcPr>
            <w:tcW w:w="2405" w:type="dxa"/>
          </w:tcPr>
          <w:p w14:paraId="30A1CA5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30A1CA5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628B5" w14:paraId="30A1CA55" w14:textId="77777777">
        <w:tc>
          <w:tcPr>
            <w:tcW w:w="2405" w:type="dxa"/>
          </w:tcPr>
          <w:p w14:paraId="30A1CA5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w:t>
            </w:r>
            <w:r>
              <w:rPr>
                <w:rFonts w:ascii="Arial" w:eastAsia="Arial" w:hAnsi="Arial" w:cs="Arial"/>
                <w:b/>
                <w:color w:val="000000"/>
                <w:sz w:val="24"/>
                <w:szCs w:val="24"/>
              </w:rPr>
              <w:t>icer"</w:t>
            </w:r>
          </w:p>
        </w:tc>
        <w:tc>
          <w:tcPr>
            <w:tcW w:w="7342" w:type="dxa"/>
          </w:tcPr>
          <w:p w14:paraId="30A1CA5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628B5" w14:paraId="30A1CA58" w14:textId="77777777">
        <w:tc>
          <w:tcPr>
            <w:tcW w:w="2405" w:type="dxa"/>
          </w:tcPr>
          <w:p w14:paraId="30A1CA5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30A1CA5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or the Supplier, including IPRs, together with information derived from the above, and an</w:t>
            </w:r>
            <w:r>
              <w:rPr>
                <w:rFonts w:ascii="Arial" w:eastAsia="Arial" w:hAnsi="Arial" w:cs="Arial"/>
                <w:color w:val="000000"/>
                <w:sz w:val="24"/>
                <w:szCs w:val="24"/>
              </w:rPr>
              <w:t xml:space="preserve">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628B5" w14:paraId="30A1CA5B" w14:textId="77777777">
        <w:tc>
          <w:tcPr>
            <w:tcW w:w="2405" w:type="dxa"/>
          </w:tcPr>
          <w:p w14:paraId="30A1CA59"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30A1CA5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628B5" w14:paraId="30A1CA5E" w14:textId="77777777">
        <w:tc>
          <w:tcPr>
            <w:tcW w:w="2405" w:type="dxa"/>
          </w:tcPr>
          <w:p w14:paraId="30A1CA5C"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14:paraId="30A1CA5D"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A628B5" w14:paraId="30A1CA61" w14:textId="77777777">
        <w:tc>
          <w:tcPr>
            <w:tcW w:w="2405" w:type="dxa"/>
          </w:tcPr>
          <w:p w14:paraId="30A1CA5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30A1CA6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628B5" w14:paraId="30A1CA64" w14:textId="77777777">
        <w:tc>
          <w:tcPr>
            <w:tcW w:w="2405" w:type="dxa"/>
          </w:tcPr>
          <w:p w14:paraId="30A1CA6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“Contract Management”</w:t>
            </w:r>
          </w:p>
        </w:tc>
        <w:tc>
          <w:tcPr>
            <w:tcW w:w="7342" w:type="dxa"/>
          </w:tcPr>
          <w:p w14:paraId="30A1CA63"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A628B5" w14:paraId="30A1CA6A" w14:textId="77777777">
        <w:tc>
          <w:tcPr>
            <w:tcW w:w="2405" w:type="dxa"/>
          </w:tcPr>
          <w:p w14:paraId="30A1CA6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30A1CA6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30A1CA6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30A1CA6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30A1CA6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A628B5" w14:paraId="30A1CA6D" w14:textId="77777777">
        <w:tc>
          <w:tcPr>
            <w:tcW w:w="2405" w:type="dxa"/>
          </w:tcPr>
          <w:p w14:paraId="30A1CA6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30A1CA6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w:t>
            </w:r>
            <w:r>
              <w:rPr>
                <w:rFonts w:ascii="Arial" w:eastAsia="Arial" w:hAnsi="Arial" w:cs="Arial"/>
                <w:color w:val="000000"/>
                <w:sz w:val="24"/>
                <w:szCs w:val="24"/>
              </w:rPr>
              <w:t>es paid or payable under a Contract where all obligations are met by the Supplier;</w:t>
            </w:r>
          </w:p>
        </w:tc>
      </w:tr>
      <w:tr w:rsidR="00A628B5" w14:paraId="30A1CA70" w14:textId="77777777">
        <w:tc>
          <w:tcPr>
            <w:tcW w:w="2405" w:type="dxa"/>
          </w:tcPr>
          <w:p w14:paraId="30A1CA6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30A1CA6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628B5" w14:paraId="30A1CA73" w14:textId="77777777">
        <w:tc>
          <w:tcPr>
            <w:tcW w:w="2405" w:type="dxa"/>
          </w:tcPr>
          <w:p w14:paraId="30A1CA7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30A1CA7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A628B5" w14:paraId="30A1CA76" w14:textId="77777777">
        <w:tc>
          <w:tcPr>
            <w:tcW w:w="2405" w:type="dxa"/>
          </w:tcPr>
          <w:p w14:paraId="30A1CA7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30A1CA7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628B5" w14:paraId="30A1CA79" w14:textId="77777777">
        <w:tc>
          <w:tcPr>
            <w:tcW w:w="2405" w:type="dxa"/>
          </w:tcPr>
          <w:p w14:paraId="30A1CA7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30A1CA7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A628B5" w14:paraId="30A1CA7C" w14:textId="77777777">
        <w:tc>
          <w:tcPr>
            <w:tcW w:w="2405" w:type="dxa"/>
          </w:tcPr>
          <w:p w14:paraId="30A1CA7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“COSoP”</w:t>
            </w:r>
          </w:p>
        </w:tc>
        <w:tc>
          <w:tcPr>
            <w:tcW w:w="7342" w:type="dxa"/>
          </w:tcPr>
          <w:p w14:paraId="30A1CA7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Cabinet Office Statement of Practice;</w:t>
            </w:r>
          </w:p>
        </w:tc>
      </w:tr>
      <w:tr w:rsidR="00A628B5" w14:paraId="30A1CA94" w14:textId="77777777">
        <w:tc>
          <w:tcPr>
            <w:tcW w:w="2405" w:type="dxa"/>
          </w:tcPr>
          <w:p w14:paraId="30A1CA7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30A1CA7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30A1CA7F"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cost to the Supplier or the Key Subcontractor (as the context requires), calculated per </w:t>
            </w:r>
            <w:proofErr w:type="gramStart"/>
            <w:r>
              <w:rPr>
                <w:rFonts w:ascii="Arial" w:eastAsia="Arial" w:hAnsi="Arial" w:cs="Arial"/>
                <w:color w:val="000000"/>
                <w:sz w:val="24"/>
                <w:szCs w:val="24"/>
              </w:rPr>
              <w:t>Work Day</w:t>
            </w:r>
            <w:proofErr w:type="gramEnd"/>
            <w:r>
              <w:rPr>
                <w:rFonts w:ascii="Arial" w:eastAsia="Arial" w:hAnsi="Arial" w:cs="Arial"/>
                <w:color w:val="000000"/>
                <w:sz w:val="24"/>
                <w:szCs w:val="24"/>
              </w:rPr>
              <w:t>, of engaging the Supplier Staff, including:</w:t>
            </w:r>
          </w:p>
          <w:p w14:paraId="30A1CA80" w14:textId="77777777" w:rsidR="00A628B5" w:rsidRDefault="00726FC7">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base salary paid to the Supplier </w:t>
            </w:r>
            <w:proofErr w:type="gramStart"/>
            <w:r>
              <w:rPr>
                <w:rFonts w:ascii="Arial" w:eastAsia="Arial" w:hAnsi="Arial" w:cs="Arial"/>
                <w:color w:val="000000"/>
                <w:sz w:val="24"/>
                <w:szCs w:val="24"/>
              </w:rPr>
              <w:t>Staff;</w:t>
            </w:r>
            <w:proofErr w:type="gramEnd"/>
          </w:p>
          <w:p w14:paraId="30A1CA81" w14:textId="77777777" w:rsidR="00A628B5" w:rsidRDefault="00726FC7">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employer’s National Insurance </w:t>
            </w:r>
            <w:proofErr w:type="gramStart"/>
            <w:r>
              <w:rPr>
                <w:rFonts w:ascii="Arial" w:eastAsia="Arial" w:hAnsi="Arial" w:cs="Arial"/>
                <w:color w:val="000000"/>
                <w:sz w:val="24"/>
                <w:szCs w:val="24"/>
              </w:rPr>
              <w:t>contributions;</w:t>
            </w:r>
            <w:proofErr w:type="gramEnd"/>
          </w:p>
          <w:p w14:paraId="30A1CA82" w14:textId="77777777" w:rsidR="00A628B5" w:rsidRDefault="00726FC7">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pension </w:t>
            </w:r>
            <w:proofErr w:type="gramStart"/>
            <w:r>
              <w:rPr>
                <w:rFonts w:ascii="Arial" w:eastAsia="Arial" w:hAnsi="Arial" w:cs="Arial"/>
                <w:color w:val="000000"/>
                <w:sz w:val="24"/>
                <w:szCs w:val="24"/>
              </w:rPr>
              <w:t>contributions;</w:t>
            </w:r>
            <w:proofErr w:type="gramEnd"/>
          </w:p>
          <w:p w14:paraId="30A1CA83" w14:textId="77777777" w:rsidR="00A628B5" w:rsidRDefault="00726FC7">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car</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allowances;</w:t>
            </w:r>
            <w:proofErr w:type="gramEnd"/>
            <w:r>
              <w:rPr>
                <w:rFonts w:ascii="Arial" w:eastAsia="Arial" w:hAnsi="Arial" w:cs="Arial"/>
                <w:color w:val="000000"/>
                <w:sz w:val="24"/>
                <w:szCs w:val="24"/>
              </w:rPr>
              <w:t xml:space="preserve"> </w:t>
            </w:r>
          </w:p>
          <w:p w14:paraId="30A1CA84" w14:textId="77777777" w:rsidR="00A628B5" w:rsidRDefault="00726FC7">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any other contractual employment </w:t>
            </w:r>
            <w:proofErr w:type="gramStart"/>
            <w:r>
              <w:rPr>
                <w:rFonts w:ascii="Arial" w:eastAsia="Arial" w:hAnsi="Arial" w:cs="Arial"/>
                <w:color w:val="000000"/>
                <w:sz w:val="24"/>
                <w:szCs w:val="24"/>
              </w:rPr>
              <w:t>benefits;</w:t>
            </w:r>
            <w:proofErr w:type="gramEnd"/>
          </w:p>
          <w:p w14:paraId="30A1CA85" w14:textId="77777777" w:rsidR="00A628B5" w:rsidRDefault="00726FC7">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staff </w:t>
            </w:r>
            <w:proofErr w:type="gramStart"/>
            <w:r>
              <w:rPr>
                <w:rFonts w:ascii="Arial" w:eastAsia="Arial" w:hAnsi="Arial" w:cs="Arial"/>
                <w:color w:val="000000"/>
                <w:sz w:val="24"/>
                <w:szCs w:val="24"/>
              </w:rPr>
              <w:t>training;</w:t>
            </w:r>
            <w:proofErr w:type="gramEnd"/>
          </w:p>
          <w:p w14:paraId="30A1CA86" w14:textId="77777777" w:rsidR="00A628B5" w:rsidRDefault="00726FC7">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proofErr w:type="gramStart"/>
            <w:r>
              <w:rPr>
                <w:rFonts w:ascii="Arial" w:eastAsia="Arial" w:hAnsi="Arial" w:cs="Arial"/>
                <w:color w:val="000000"/>
                <w:sz w:val="24"/>
                <w:szCs w:val="24"/>
              </w:rPr>
              <w:t>work place</w:t>
            </w:r>
            <w:proofErr w:type="gramEnd"/>
            <w:r>
              <w:rPr>
                <w:rFonts w:ascii="Arial" w:eastAsia="Arial" w:hAnsi="Arial" w:cs="Arial"/>
                <w:color w:val="000000"/>
                <w:sz w:val="24"/>
                <w:szCs w:val="24"/>
              </w:rPr>
              <w:t xml:space="preserve"> accommodation;</w:t>
            </w:r>
          </w:p>
          <w:p w14:paraId="30A1CA87" w14:textId="77777777" w:rsidR="00A628B5" w:rsidRDefault="00726FC7">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proofErr w:type="gramStart"/>
            <w:r>
              <w:rPr>
                <w:rFonts w:ascii="Arial" w:eastAsia="Arial" w:hAnsi="Arial" w:cs="Arial"/>
                <w:color w:val="000000"/>
                <w:sz w:val="24"/>
                <w:szCs w:val="24"/>
              </w:rPr>
              <w:t>work place</w:t>
            </w:r>
            <w:proofErr w:type="gramEnd"/>
            <w:r>
              <w:rPr>
                <w:rFonts w:ascii="Arial" w:eastAsia="Arial" w:hAnsi="Arial" w:cs="Arial"/>
                <w:color w:val="000000"/>
                <w:sz w:val="24"/>
                <w:szCs w:val="24"/>
              </w:rPr>
              <w:t xml:space="preserve"> IT equipment and tools reasonably necessary to provide the Deliverables (but not including items included within limb (b) below); and</w:t>
            </w:r>
          </w:p>
          <w:p w14:paraId="30A1CA88" w14:textId="77777777" w:rsidR="00A628B5" w:rsidRDefault="00726FC7">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30A1CA89"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w:t>
            </w:r>
            <w:r>
              <w:rPr>
                <w:rFonts w:ascii="Arial" w:eastAsia="Arial" w:hAnsi="Arial" w:cs="Arial"/>
                <w:color w:val="000000"/>
                <w:sz w:val="24"/>
                <w:szCs w:val="24"/>
              </w:rPr>
              <w:t xml:space="preserve">ld be treated as capital costs according to generally accepted accounting principles within the UK, which shall include the cost to be charged in respect of Supplier Assets by the Supplier to the Buyer or (to the extent that risk and title in any Supplier </w:t>
            </w:r>
            <w:r>
              <w:rPr>
                <w:rFonts w:ascii="Arial" w:eastAsia="Arial" w:hAnsi="Arial" w:cs="Arial"/>
                <w:color w:val="000000"/>
                <w:sz w:val="24"/>
                <w:szCs w:val="24"/>
              </w:rPr>
              <w:t xml:space="preserve">Asset is not held by the Supplier) any cost actually incurred by the Supplier in respect of those Supplier </w:t>
            </w:r>
            <w:proofErr w:type="gramStart"/>
            <w:r>
              <w:rPr>
                <w:rFonts w:ascii="Arial" w:eastAsia="Arial" w:hAnsi="Arial" w:cs="Arial"/>
                <w:color w:val="000000"/>
                <w:sz w:val="24"/>
                <w:szCs w:val="24"/>
              </w:rPr>
              <w:t>Assets;</w:t>
            </w:r>
            <w:proofErr w:type="gramEnd"/>
          </w:p>
          <w:p w14:paraId="30A1CA8A"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w:t>
            </w:r>
            <w:r>
              <w:rPr>
                <w:rFonts w:ascii="Arial" w:eastAsia="Arial" w:hAnsi="Arial" w:cs="Arial"/>
                <w:color w:val="000000"/>
                <w:sz w:val="24"/>
                <w:szCs w:val="24"/>
              </w:rPr>
              <w:t>pplier in the provision of the Deliverables; and</w:t>
            </w:r>
          </w:p>
          <w:p w14:paraId="30A1CA8B"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Reimbursable Expenses to the extent these have been specified as allowable in the Order Form and are incurred in delivering any </w:t>
            </w:r>
            <w:proofErr w:type="gramStart"/>
            <w:r>
              <w:rPr>
                <w:rFonts w:ascii="Arial" w:eastAsia="Arial" w:hAnsi="Arial" w:cs="Arial"/>
                <w:color w:val="000000"/>
                <w:sz w:val="24"/>
                <w:szCs w:val="24"/>
              </w:rPr>
              <w:t>Deliverables;</w:t>
            </w:r>
            <w:proofErr w:type="gramEnd"/>
          </w:p>
          <w:p w14:paraId="30A1CA8C" w14:textId="77777777" w:rsidR="00A628B5" w:rsidRDefault="00726FC7">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30A1CA8D" w14:textId="77777777" w:rsidR="00A628B5" w:rsidRDefault="00726FC7">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proofErr w:type="gramStart"/>
            <w:r>
              <w:rPr>
                <w:rFonts w:ascii="Arial" w:eastAsia="Arial" w:hAnsi="Arial" w:cs="Arial"/>
                <w:color w:val="000000"/>
                <w:sz w:val="24"/>
                <w:szCs w:val="24"/>
              </w:rPr>
              <w:t>Overhead;</w:t>
            </w:r>
            <w:proofErr w:type="gramEnd"/>
          </w:p>
          <w:p w14:paraId="30A1CA8E" w14:textId="77777777" w:rsidR="00A628B5" w:rsidRDefault="00726FC7">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financing or similar </w:t>
            </w:r>
            <w:proofErr w:type="gramStart"/>
            <w:r>
              <w:rPr>
                <w:rFonts w:ascii="Arial" w:eastAsia="Arial" w:hAnsi="Arial" w:cs="Arial"/>
                <w:color w:val="000000"/>
                <w:sz w:val="24"/>
                <w:szCs w:val="24"/>
              </w:rPr>
              <w:t>costs;</w:t>
            </w:r>
            <w:proofErr w:type="gramEnd"/>
          </w:p>
          <w:p w14:paraId="30A1CA8F"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maintenance and support costs to the extent that these relate to maintenance and/or support Deliverables provided beyond the Call-Off Contract Period whether in relation to Supplier Assets or </w:t>
            </w:r>
            <w:proofErr w:type="gramStart"/>
            <w:r>
              <w:rPr>
                <w:rFonts w:ascii="Arial" w:eastAsia="Arial" w:hAnsi="Arial" w:cs="Arial"/>
                <w:color w:val="000000"/>
                <w:sz w:val="24"/>
                <w:szCs w:val="24"/>
              </w:rPr>
              <w:t>otherwise;</w:t>
            </w:r>
            <w:proofErr w:type="gramEnd"/>
          </w:p>
          <w:p w14:paraId="30A1CA90" w14:textId="77777777" w:rsidR="00A628B5" w:rsidRDefault="00726FC7">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proofErr w:type="gramStart"/>
            <w:r>
              <w:rPr>
                <w:rFonts w:ascii="Arial" w:eastAsia="Arial" w:hAnsi="Arial" w:cs="Arial"/>
                <w:color w:val="000000"/>
                <w:sz w:val="24"/>
                <w:szCs w:val="24"/>
              </w:rPr>
              <w:t>taxation;</w:t>
            </w:r>
            <w:proofErr w:type="gramEnd"/>
          </w:p>
          <w:p w14:paraId="30A1CA91" w14:textId="77777777" w:rsidR="00A628B5" w:rsidRDefault="00726FC7">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 xml:space="preserve">fines and </w:t>
            </w:r>
            <w:proofErr w:type="gramStart"/>
            <w:r>
              <w:rPr>
                <w:rFonts w:ascii="Arial" w:eastAsia="Arial" w:hAnsi="Arial" w:cs="Arial"/>
                <w:color w:val="000000"/>
                <w:sz w:val="24"/>
                <w:szCs w:val="24"/>
              </w:rPr>
              <w:t>penalties;</w:t>
            </w:r>
            <w:proofErr w:type="gramEnd"/>
          </w:p>
          <w:p w14:paraId="30A1CA92"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14:paraId="30A1CA93"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non-cash items (including depreciation, amortisation, </w:t>
            </w:r>
            <w:proofErr w:type="gramStart"/>
            <w:r>
              <w:rPr>
                <w:rFonts w:ascii="Arial" w:eastAsia="Arial" w:hAnsi="Arial" w:cs="Arial"/>
                <w:color w:val="000000"/>
                <w:sz w:val="24"/>
                <w:szCs w:val="24"/>
              </w:rPr>
              <w:t>impairments</w:t>
            </w:r>
            <w:proofErr w:type="gramEnd"/>
            <w:r>
              <w:rPr>
                <w:rFonts w:ascii="Arial" w:eastAsia="Arial" w:hAnsi="Arial" w:cs="Arial"/>
                <w:color w:val="000000"/>
                <w:sz w:val="24"/>
                <w:szCs w:val="24"/>
              </w:rPr>
              <w:t xml:space="preserve"> and movements in provisions);</w:t>
            </w:r>
          </w:p>
        </w:tc>
      </w:tr>
      <w:tr w:rsidR="00A628B5" w14:paraId="30A1CA97" w14:textId="77777777">
        <w:tc>
          <w:tcPr>
            <w:tcW w:w="2405" w:type="dxa"/>
          </w:tcPr>
          <w:p w14:paraId="30A1CA9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7342" w:type="dxa"/>
          </w:tcPr>
          <w:p w14:paraId="30A1CA9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A628B5" w14:paraId="30A1CA9A" w14:textId="77777777">
        <w:tc>
          <w:tcPr>
            <w:tcW w:w="2405" w:type="dxa"/>
          </w:tcPr>
          <w:p w14:paraId="30A1CA9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“CRM”</w:t>
            </w:r>
          </w:p>
        </w:tc>
        <w:tc>
          <w:tcPr>
            <w:tcW w:w="7342" w:type="dxa"/>
          </w:tcPr>
          <w:p w14:paraId="30A1CA99" w14:textId="77777777" w:rsidR="00A628B5" w:rsidRDefault="00726FC7">
            <w:pPr>
              <w:spacing w:line="276" w:lineRule="auto"/>
              <w:rPr>
                <w:rFonts w:ascii="Arial" w:eastAsia="Arial" w:hAnsi="Arial" w:cs="Arial"/>
                <w:sz w:val="24"/>
                <w:szCs w:val="24"/>
              </w:rPr>
            </w:pPr>
            <w:r>
              <w:rPr>
                <w:rFonts w:ascii="Arial" w:eastAsia="Arial" w:hAnsi="Arial" w:cs="Arial"/>
                <w:sz w:val="24"/>
                <w:szCs w:val="24"/>
              </w:rPr>
              <w:t>Customer Relationship Management;</w:t>
            </w:r>
          </w:p>
        </w:tc>
      </w:tr>
      <w:tr w:rsidR="00A628B5" w14:paraId="30A1CA9D" w14:textId="77777777">
        <w:tc>
          <w:tcPr>
            <w:tcW w:w="2405" w:type="dxa"/>
          </w:tcPr>
          <w:p w14:paraId="30A1CA9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Pr>
          <w:p w14:paraId="30A1CA9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628B5" w14:paraId="30A1CAA0" w14:textId="77777777">
        <w:tc>
          <w:tcPr>
            <w:tcW w:w="2405" w:type="dxa"/>
          </w:tcPr>
          <w:p w14:paraId="30A1CA9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“Data Analytics Capability”</w:t>
            </w:r>
          </w:p>
        </w:tc>
        <w:tc>
          <w:tcPr>
            <w:tcW w:w="7342" w:type="dxa"/>
          </w:tcPr>
          <w:p w14:paraId="30A1CA9F" w14:textId="77777777" w:rsidR="00A628B5" w:rsidRDefault="00726FC7">
            <w:pPr>
              <w:spacing w:line="276" w:lineRule="auto"/>
              <w:rPr>
                <w:rFonts w:ascii="Arial" w:eastAsia="Arial" w:hAnsi="Arial" w:cs="Arial"/>
                <w:sz w:val="24"/>
                <w:szCs w:val="24"/>
              </w:rPr>
            </w:pPr>
            <w:r>
              <w:rPr>
                <w:rFonts w:ascii="Arial" w:eastAsia="Arial" w:hAnsi="Arial" w:cs="Arial"/>
                <w:color w:val="202124"/>
                <w:sz w:val="24"/>
                <w:szCs w:val="24"/>
                <w:highlight w:val="white"/>
              </w:rPr>
              <w:t>the application of advanced analysis to discover deep insights, make predictions and generate recommendations;</w:t>
            </w:r>
          </w:p>
        </w:tc>
      </w:tr>
      <w:tr w:rsidR="00A628B5" w14:paraId="30A1CAA3" w14:textId="77777777">
        <w:tc>
          <w:tcPr>
            <w:tcW w:w="2405" w:type="dxa"/>
          </w:tcPr>
          <w:p w14:paraId="30A1CAA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30A1CAA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628B5" w14:paraId="30A1CAA6" w14:textId="77777777">
        <w:tc>
          <w:tcPr>
            <w:tcW w:w="2405" w:type="dxa"/>
          </w:tcPr>
          <w:p w14:paraId="30A1CAA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30A1CAA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w:t>
            </w:r>
            <w:r>
              <w:rPr>
                <w:rFonts w:ascii="Arial" w:eastAsia="Arial" w:hAnsi="Arial" w:cs="Arial"/>
                <w:color w:val="000000"/>
                <w:sz w:val="24"/>
                <w:szCs w:val="24"/>
              </w:rPr>
              <w:t>onal Data and privacy; (iii) all applicable Law about the Processing of Personal Data and privacy;</w:t>
            </w:r>
          </w:p>
        </w:tc>
      </w:tr>
      <w:tr w:rsidR="00A628B5" w14:paraId="30A1CAA9" w14:textId="77777777">
        <w:tc>
          <w:tcPr>
            <w:tcW w:w="2405" w:type="dxa"/>
          </w:tcPr>
          <w:p w14:paraId="30A1CAA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30A1CAA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A628B5" w14:paraId="30A1CAAC" w14:textId="77777777">
        <w:tc>
          <w:tcPr>
            <w:tcW w:w="2405" w:type="dxa"/>
          </w:tcPr>
          <w:p w14:paraId="30A1CAA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30A1CAA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628B5" w14:paraId="30A1CAAF" w14:textId="77777777">
        <w:tc>
          <w:tcPr>
            <w:tcW w:w="2405" w:type="dxa"/>
          </w:tcPr>
          <w:p w14:paraId="30A1CAA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“Data Services”</w:t>
            </w:r>
          </w:p>
        </w:tc>
        <w:tc>
          <w:tcPr>
            <w:tcW w:w="7342" w:type="dxa"/>
          </w:tcPr>
          <w:p w14:paraId="30A1CAAE" w14:textId="77777777" w:rsidR="00A628B5" w:rsidRDefault="00726FC7">
            <w:pPr>
              <w:spacing w:line="276" w:lineRule="auto"/>
              <w:rPr>
                <w:rFonts w:ascii="Arial" w:eastAsia="Arial" w:hAnsi="Arial" w:cs="Arial"/>
                <w:color w:val="000000"/>
                <w:sz w:val="24"/>
                <w:szCs w:val="24"/>
              </w:rPr>
            </w:pPr>
            <w:r>
              <w:rPr>
                <w:rFonts w:ascii="Arial" w:eastAsia="Arial" w:hAnsi="Arial" w:cs="Arial"/>
                <w:color w:val="202124"/>
                <w:sz w:val="24"/>
                <w:szCs w:val="24"/>
                <w:highlight w:val="white"/>
              </w:rPr>
              <w:t xml:space="preserve"> third-party services that help to manage data for clients;</w:t>
            </w:r>
          </w:p>
        </w:tc>
      </w:tr>
      <w:tr w:rsidR="00A628B5" w14:paraId="30A1CAB2" w14:textId="77777777">
        <w:tc>
          <w:tcPr>
            <w:tcW w:w="2405" w:type="dxa"/>
          </w:tcPr>
          <w:p w14:paraId="30A1CAB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30A1CAB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628B5" w14:paraId="30A1CAB5" w14:textId="77777777">
        <w:tc>
          <w:tcPr>
            <w:tcW w:w="2405" w:type="dxa"/>
          </w:tcPr>
          <w:p w14:paraId="30A1CAB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30A1CAB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628B5" w14:paraId="30A1CAB8" w14:textId="77777777">
        <w:tc>
          <w:tcPr>
            <w:tcW w:w="2405" w:type="dxa"/>
          </w:tcPr>
          <w:p w14:paraId="30A1CAB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“DBS”</w:t>
            </w:r>
          </w:p>
        </w:tc>
        <w:tc>
          <w:tcPr>
            <w:tcW w:w="7342" w:type="dxa"/>
          </w:tcPr>
          <w:p w14:paraId="30A1CAB7" w14:textId="77777777" w:rsidR="00A628B5" w:rsidRDefault="00726FC7">
            <w:pPr>
              <w:spacing w:line="276" w:lineRule="auto"/>
              <w:rPr>
                <w:rFonts w:ascii="Arial" w:eastAsia="Arial" w:hAnsi="Arial" w:cs="Arial"/>
                <w:color w:val="000000"/>
                <w:sz w:val="24"/>
                <w:szCs w:val="24"/>
              </w:rPr>
            </w:pPr>
            <w:r>
              <w:rPr>
                <w:rFonts w:ascii="Arial" w:eastAsia="Arial" w:hAnsi="Arial" w:cs="Arial"/>
                <w:sz w:val="24"/>
                <w:szCs w:val="24"/>
              </w:rPr>
              <w:t>Disclosure and Barring Service;</w:t>
            </w:r>
          </w:p>
        </w:tc>
      </w:tr>
      <w:tr w:rsidR="00A628B5" w14:paraId="30A1CABB" w14:textId="77777777">
        <w:tc>
          <w:tcPr>
            <w:tcW w:w="2405" w:type="dxa"/>
          </w:tcPr>
          <w:p w14:paraId="30A1CAB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30A1CAB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628B5" w14:paraId="30A1CABE" w14:textId="77777777">
        <w:tc>
          <w:tcPr>
            <w:tcW w:w="2405" w:type="dxa"/>
          </w:tcPr>
          <w:p w14:paraId="30A1CAB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30A1CAB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w:t>
            </w:r>
            <w:r>
              <w:rPr>
                <w:rFonts w:ascii="Arial" w:eastAsia="Arial" w:hAnsi="Arial" w:cs="Arial"/>
                <w:color w:val="000000"/>
                <w:sz w:val="24"/>
                <w:szCs w:val="24"/>
              </w:rPr>
              <w:t xml:space="preserve">h of its terms) or any other default (including material default), act, omission, </w:t>
            </w:r>
            <w:proofErr w:type="gramStart"/>
            <w:r>
              <w:rPr>
                <w:rFonts w:ascii="Arial" w:eastAsia="Arial" w:hAnsi="Arial" w:cs="Arial"/>
                <w:color w:val="000000"/>
                <w:sz w:val="24"/>
                <w:szCs w:val="24"/>
              </w:rPr>
              <w:t>negligence</w:t>
            </w:r>
            <w:proofErr w:type="gramEnd"/>
            <w:r>
              <w:rPr>
                <w:rFonts w:ascii="Arial" w:eastAsia="Arial" w:hAnsi="Arial" w:cs="Arial"/>
                <w:color w:val="000000"/>
                <w:sz w:val="24"/>
                <w:szCs w:val="24"/>
              </w:rPr>
              <w:t xml:space="preserve"> or statement of the Supplier, of its Subcontractors or any Supplier Staff howsoever arising in connection with or in relation to the subject-matter of a Contract a</w:t>
            </w:r>
            <w:r>
              <w:rPr>
                <w:rFonts w:ascii="Arial" w:eastAsia="Arial" w:hAnsi="Arial" w:cs="Arial"/>
                <w:color w:val="000000"/>
                <w:sz w:val="24"/>
                <w:szCs w:val="24"/>
              </w:rPr>
              <w:t>nd in respect of which the Supplier is liable to the Relevant Authority;</w:t>
            </w:r>
          </w:p>
        </w:tc>
      </w:tr>
      <w:tr w:rsidR="00A628B5" w14:paraId="30A1CAC1" w14:textId="77777777">
        <w:tc>
          <w:tcPr>
            <w:tcW w:w="2405" w:type="dxa"/>
          </w:tcPr>
          <w:p w14:paraId="30A1CAB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30A1CAC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628B5" w14:paraId="30A1CAC4" w14:textId="77777777">
        <w:tc>
          <w:tcPr>
            <w:tcW w:w="2405" w:type="dxa"/>
          </w:tcPr>
          <w:p w14:paraId="30A1CAC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30A1CAC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628B5" w14:paraId="30A1CAC7" w14:textId="77777777">
        <w:tc>
          <w:tcPr>
            <w:tcW w:w="2405" w:type="dxa"/>
          </w:tcPr>
          <w:p w14:paraId="30A1CAC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30A1CAC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628B5" w14:paraId="30A1CACA" w14:textId="77777777">
        <w:tc>
          <w:tcPr>
            <w:tcW w:w="2405" w:type="dxa"/>
          </w:tcPr>
          <w:p w14:paraId="30A1CAC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30A1CAC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w:t>
            </w:r>
            <w:r>
              <w:rPr>
                <w:rFonts w:ascii="Arial" w:eastAsia="Arial" w:hAnsi="Arial" w:cs="Arial"/>
                <w:color w:val="000000"/>
                <w:sz w:val="24"/>
                <w:szCs w:val="24"/>
              </w:rPr>
              <w:t>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A628B5" w14:paraId="30A1CACD" w14:textId="77777777">
        <w:tc>
          <w:tcPr>
            <w:tcW w:w="2405" w:type="dxa"/>
          </w:tcPr>
          <w:p w14:paraId="30A1CAC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30A1CAC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628B5" w14:paraId="30A1CAD0" w14:textId="77777777">
        <w:tc>
          <w:tcPr>
            <w:tcW w:w="2405" w:type="dxa"/>
          </w:tcPr>
          <w:p w14:paraId="30A1CACE"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30A1CAC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w:t>
            </w:r>
            <w:proofErr w:type="gramStart"/>
            <w:r>
              <w:rPr>
                <w:rFonts w:ascii="Arial" w:eastAsia="Arial" w:hAnsi="Arial" w:cs="Arial"/>
                <w:color w:val="000000"/>
                <w:sz w:val="24"/>
                <w:szCs w:val="24"/>
              </w:rPr>
              <w:t>dispute</w:t>
            </w:r>
            <w:proofErr w:type="gramEnd"/>
            <w:r>
              <w:rPr>
                <w:rFonts w:ascii="Arial" w:eastAsia="Arial" w:hAnsi="Arial" w:cs="Arial"/>
                <w:color w:val="000000"/>
                <w:sz w:val="24"/>
                <w:szCs w:val="24"/>
              </w:rPr>
              <w:t xml:space="preserv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A628B5" w14:paraId="30A1CAD3" w14:textId="77777777">
        <w:tc>
          <w:tcPr>
            <w:tcW w:w="2405" w:type="dxa"/>
          </w:tcPr>
          <w:p w14:paraId="30A1CAD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30A1CAD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628B5" w14:paraId="30A1CAD9" w14:textId="77777777">
        <w:tc>
          <w:tcPr>
            <w:tcW w:w="2405" w:type="dxa"/>
          </w:tcPr>
          <w:p w14:paraId="30A1CAD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30A1CAD5" w14:textId="77777777" w:rsidR="00A628B5" w:rsidRDefault="00726FC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14:paraId="30A1CAD6"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proofErr w:type="gramStart"/>
            <w:r>
              <w:rPr>
                <w:rFonts w:ascii="Arial" w:eastAsia="Arial" w:hAnsi="Arial" w:cs="Arial"/>
                <w:color w:val="000000"/>
                <w:sz w:val="24"/>
                <w:szCs w:val="24"/>
              </w:rPr>
              <w:t>upgrade</w:t>
            </w:r>
            <w:proofErr w:type="gramEnd"/>
            <w:r>
              <w:rPr>
                <w:rFonts w:ascii="Arial" w:eastAsia="Arial" w:hAnsi="Arial" w:cs="Arial"/>
                <w:color w:val="000000"/>
                <w:sz w:val="24"/>
                <w:szCs w:val="24"/>
              </w:rPr>
              <w:t xml:space="preserve"> and test the individual systems that provide the Deliverables</w:t>
            </w:r>
          </w:p>
          <w:p w14:paraId="30A1CAD7"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30A1CAD8" w14:textId="77777777" w:rsidR="00A628B5" w:rsidRDefault="00726FC7">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628B5" w14:paraId="30A1CADC" w14:textId="77777777">
        <w:tc>
          <w:tcPr>
            <w:tcW w:w="2405" w:type="dxa"/>
          </w:tcPr>
          <w:p w14:paraId="30A1CAD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30A1CADB" w14:textId="77777777" w:rsidR="00A628B5" w:rsidRDefault="00726FC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A628B5" w14:paraId="30A1CADF" w14:textId="77777777">
        <w:tc>
          <w:tcPr>
            <w:tcW w:w="2405" w:type="dxa"/>
          </w:tcPr>
          <w:p w14:paraId="30A1CAD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30A1CADE" w14:textId="77777777" w:rsidR="00A628B5" w:rsidRDefault="00726FC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628B5" w14:paraId="30A1CAE2" w14:textId="77777777">
        <w:tc>
          <w:tcPr>
            <w:tcW w:w="2405" w:type="dxa"/>
          </w:tcPr>
          <w:p w14:paraId="30A1CAE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30A1CAE1" w14:textId="77777777" w:rsidR="00A628B5" w:rsidRDefault="00726FC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628B5" w14:paraId="30A1CAE5" w14:textId="77777777">
        <w:tc>
          <w:tcPr>
            <w:tcW w:w="2405" w:type="dxa"/>
          </w:tcPr>
          <w:p w14:paraId="30A1CAE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30A1CAE4" w14:textId="77777777" w:rsidR="00A628B5" w:rsidRDefault="00726FC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628B5" w14:paraId="30A1CAE8" w14:textId="77777777">
        <w:tc>
          <w:tcPr>
            <w:tcW w:w="2405" w:type="dxa"/>
          </w:tcPr>
          <w:p w14:paraId="30A1CAE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30A1CAE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628B5" w14:paraId="30A1CAEB" w14:textId="77777777">
        <w:tc>
          <w:tcPr>
            <w:tcW w:w="2405" w:type="dxa"/>
          </w:tcPr>
          <w:p w14:paraId="30A1CAE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30A1CAE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 invoice which has been issued, transmitted and received in a structured electronic format which allows for its automatic and electronic </w:t>
            </w:r>
            <w:proofErr w:type="gramStart"/>
            <w:r>
              <w:rPr>
                <w:rFonts w:ascii="Arial" w:eastAsia="Arial" w:hAnsi="Arial" w:cs="Arial"/>
                <w:color w:val="000000"/>
                <w:sz w:val="24"/>
                <w:szCs w:val="24"/>
              </w:rPr>
              <w:t>processing</w:t>
            </w:r>
            <w:proofErr w:type="gramEnd"/>
            <w:r>
              <w:rPr>
                <w:rFonts w:ascii="Arial" w:eastAsia="Arial" w:hAnsi="Arial" w:cs="Arial"/>
                <w:color w:val="000000"/>
                <w:sz w:val="24"/>
                <w:szCs w:val="24"/>
              </w:rPr>
              <w:t xml:space="preserve">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A628B5" w14:paraId="30A1CAEE" w14:textId="77777777">
        <w:tc>
          <w:tcPr>
            <w:tcW w:w="2405" w:type="dxa"/>
          </w:tcPr>
          <w:p w14:paraId="30A1CAE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30A1CAE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628B5" w14:paraId="30A1CAF3" w14:textId="77777777">
        <w:tc>
          <w:tcPr>
            <w:tcW w:w="2405" w:type="dxa"/>
          </w:tcPr>
          <w:p w14:paraId="30A1CAE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30A1CAF0" w14:textId="77777777" w:rsidR="00A628B5" w:rsidRDefault="00726FC7">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30A1CAF1" w14:textId="77777777" w:rsidR="00A628B5" w:rsidRDefault="00726FC7">
            <w:pPr>
              <w:numPr>
                <w:ilvl w:val="1"/>
                <w:numId w:val="3"/>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30A1CAF2" w14:textId="77777777" w:rsidR="00A628B5" w:rsidRDefault="00726FC7">
            <w:pPr>
              <w:numPr>
                <w:ilvl w:val="1"/>
                <w:numId w:val="3"/>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A628B5" w14:paraId="30A1CAF6" w14:textId="77777777">
        <w:tc>
          <w:tcPr>
            <w:tcW w:w="2405" w:type="dxa"/>
          </w:tcPr>
          <w:p w14:paraId="30A1CAF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30A1CAF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to conserve energy, water, wood, </w:t>
            </w:r>
            <w:proofErr w:type="gramStart"/>
            <w:r>
              <w:rPr>
                <w:rFonts w:ascii="Arial" w:eastAsia="Arial" w:hAnsi="Arial" w:cs="Arial"/>
                <w:color w:val="000000"/>
                <w:sz w:val="24"/>
                <w:szCs w:val="24"/>
              </w:rPr>
              <w:t>paper</w:t>
            </w:r>
            <w:proofErr w:type="gramEnd"/>
            <w:r>
              <w:rPr>
                <w:rFonts w:ascii="Arial" w:eastAsia="Arial" w:hAnsi="Arial" w:cs="Arial"/>
                <w:color w:val="000000"/>
                <w:sz w:val="24"/>
                <w:szCs w:val="24"/>
              </w:rPr>
              <w:t xml:space="preserve">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A628B5" w14:paraId="30A1CAF9" w14:textId="77777777">
        <w:tc>
          <w:tcPr>
            <w:tcW w:w="2405" w:type="dxa"/>
          </w:tcPr>
          <w:p w14:paraId="30A1CAF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30A1CAF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628B5" w14:paraId="30A1CAFC" w14:textId="77777777">
        <w:tc>
          <w:tcPr>
            <w:tcW w:w="2405" w:type="dxa"/>
          </w:tcPr>
          <w:p w14:paraId="30A1CAF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“ERP”</w:t>
            </w:r>
          </w:p>
        </w:tc>
        <w:tc>
          <w:tcPr>
            <w:tcW w:w="7342" w:type="dxa"/>
          </w:tcPr>
          <w:p w14:paraId="30A1CAFB" w14:textId="77777777" w:rsidR="00A628B5" w:rsidRDefault="00726FC7">
            <w:pPr>
              <w:spacing w:line="276" w:lineRule="auto"/>
              <w:rPr>
                <w:rFonts w:ascii="Arial" w:eastAsia="Arial" w:hAnsi="Arial" w:cs="Arial"/>
                <w:color w:val="000000"/>
                <w:sz w:val="24"/>
                <w:szCs w:val="24"/>
              </w:rPr>
            </w:pPr>
            <w:r>
              <w:rPr>
                <w:rFonts w:ascii="Arial" w:eastAsia="Arial" w:hAnsi="Arial" w:cs="Arial"/>
                <w:sz w:val="24"/>
                <w:szCs w:val="24"/>
              </w:rPr>
              <w:t>Enterprise Resource Planning;</w:t>
            </w:r>
          </w:p>
        </w:tc>
      </w:tr>
      <w:tr w:rsidR="00A628B5" w14:paraId="30A1CB00" w14:textId="77777777">
        <w:tc>
          <w:tcPr>
            <w:tcW w:w="2405" w:type="dxa"/>
          </w:tcPr>
          <w:p w14:paraId="30A1CAF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30A1CAFE" w14:textId="77777777" w:rsidR="00A628B5" w:rsidRDefault="00726FC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anticipated total Charges payable by the Buyer in the first Contract Year specified in the Order </w:t>
            </w:r>
            <w:proofErr w:type="gramStart"/>
            <w:r>
              <w:rPr>
                <w:rFonts w:ascii="Arial" w:eastAsia="Arial" w:hAnsi="Arial" w:cs="Arial"/>
                <w:color w:val="000000"/>
                <w:sz w:val="24"/>
                <w:szCs w:val="24"/>
              </w:rPr>
              <w:t>Form;</w:t>
            </w:r>
            <w:proofErr w:type="gramEnd"/>
          </w:p>
          <w:p w14:paraId="30A1CAFF" w14:textId="77777777" w:rsidR="00A628B5" w:rsidRDefault="00A628B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14:paraId="30A1CB01" w14:textId="77777777" w:rsidR="00A628B5" w:rsidRDefault="00A628B5">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A628B5" w14:paraId="30A1CB09"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0A1CB0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0A1CB03" w14:textId="77777777" w:rsidR="00A628B5" w:rsidRDefault="00726FC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for the purposes of calculating each Party’s annual liability under clause </w:t>
            </w:r>
            <w:proofErr w:type="gramStart"/>
            <w:r>
              <w:rPr>
                <w:rFonts w:ascii="Arial" w:eastAsia="Arial" w:hAnsi="Arial" w:cs="Arial"/>
                <w:color w:val="000000"/>
                <w:sz w:val="24"/>
                <w:szCs w:val="24"/>
              </w:rPr>
              <w:t>11.2 :</w:t>
            </w:r>
            <w:proofErr w:type="gramEnd"/>
          </w:p>
          <w:p w14:paraId="30A1CB04" w14:textId="77777777" w:rsidR="00A628B5" w:rsidRDefault="00726FC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30A1CB05" w14:textId="77777777" w:rsidR="00A628B5" w:rsidRDefault="00A628B5">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
          <w:p w14:paraId="30A1CB06" w14:textId="77777777" w:rsidR="00A628B5" w:rsidRDefault="00726FC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w:t>
            </w:r>
            <w:r>
              <w:rPr>
                <w:rFonts w:ascii="Arial" w:eastAsia="Arial" w:hAnsi="Arial" w:cs="Arial"/>
                <w:color w:val="000000"/>
                <w:sz w:val="24"/>
                <w:szCs w:val="24"/>
              </w:rPr>
              <w:t>ct Year; or</w:t>
            </w:r>
          </w:p>
          <w:p w14:paraId="30A1CB07" w14:textId="77777777" w:rsidR="00A628B5" w:rsidRDefault="00A628B5">
            <w:pPr>
              <w:pBdr>
                <w:top w:val="nil"/>
                <w:left w:val="nil"/>
                <w:bottom w:val="nil"/>
                <w:right w:val="nil"/>
                <w:between w:val="nil"/>
              </w:pBdr>
              <w:tabs>
                <w:tab w:val="left" w:pos="-179"/>
              </w:tabs>
              <w:spacing w:after="120"/>
              <w:jc w:val="both"/>
              <w:rPr>
                <w:rFonts w:ascii="Arial" w:eastAsia="Arial" w:hAnsi="Arial" w:cs="Arial"/>
                <w:color w:val="000000"/>
                <w:sz w:val="24"/>
                <w:szCs w:val="24"/>
              </w:rPr>
            </w:pPr>
          </w:p>
          <w:p w14:paraId="30A1CB08" w14:textId="77777777" w:rsidR="00A628B5" w:rsidRDefault="00726FC7">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A628B5" w14:paraId="30A1CB17"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0A1CB0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0A1CB0B" w14:textId="77777777" w:rsidR="00A628B5" w:rsidRDefault="00726FC7">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30A1CB0C" w14:textId="77777777" w:rsidR="00A628B5" w:rsidRDefault="00726FC7">
            <w:pPr>
              <w:pBdr>
                <w:top w:val="nil"/>
                <w:left w:val="nil"/>
                <w:bottom w:val="nil"/>
                <w:right w:val="nil"/>
                <w:between w:val="nil"/>
              </w:pBdr>
              <w:tabs>
                <w:tab w:val="left" w:pos="-179"/>
                <w:tab w:val="left" w:pos="-9"/>
              </w:tabs>
              <w:spacing w:after="120"/>
              <w:ind w:left="170"/>
              <w:jc w:val="both"/>
              <w:rPr>
                <w:sz w:val="24"/>
                <w:szCs w:val="24"/>
              </w:rPr>
            </w:pPr>
            <w:r>
              <w:rPr>
                <w:rFonts w:ascii="Arial" w:eastAsia="Arial" w:hAnsi="Arial" w:cs="Arial"/>
                <w:color w:val="000000"/>
                <w:sz w:val="24"/>
                <w:szCs w:val="24"/>
              </w:rPr>
              <w:t>eligible to use the Framework Contract; and</w:t>
            </w:r>
          </w:p>
          <w:p w14:paraId="30A1CB0D" w14:textId="77777777" w:rsidR="00A628B5" w:rsidRDefault="00726FC7">
            <w:pPr>
              <w:pBdr>
                <w:top w:val="nil"/>
                <w:left w:val="nil"/>
                <w:bottom w:val="nil"/>
                <w:right w:val="nil"/>
                <w:between w:val="nil"/>
              </w:pBdr>
              <w:tabs>
                <w:tab w:val="left" w:pos="-179"/>
                <w:tab w:val="left" w:pos="-9"/>
              </w:tabs>
              <w:spacing w:after="120"/>
              <w:ind w:left="170"/>
              <w:jc w:val="both"/>
              <w:rPr>
                <w:sz w:val="24"/>
                <w:szCs w:val="24"/>
              </w:rPr>
            </w:pPr>
            <w:r>
              <w:rPr>
                <w:rFonts w:ascii="Arial" w:eastAsia="Arial" w:hAnsi="Arial" w:cs="Arial"/>
                <w:color w:val="000000"/>
                <w:sz w:val="24"/>
                <w:szCs w:val="24"/>
              </w:rPr>
              <w:t>is entering into an Exempt Call-off Contract that is not subject to (as applicable) any of:</w:t>
            </w:r>
          </w:p>
          <w:p w14:paraId="30A1CB0E"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Regulations;</w:t>
            </w:r>
            <w:proofErr w:type="gramEnd"/>
          </w:p>
          <w:p w14:paraId="30A1CB0F"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sz w:val="24"/>
                <w:szCs w:val="24"/>
              </w:rPr>
            </w:pPr>
            <w:r>
              <w:rPr>
                <w:rFonts w:ascii="Arial" w:eastAsia="Arial" w:hAnsi="Arial" w:cs="Arial"/>
                <w:color w:val="000000"/>
                <w:sz w:val="24"/>
                <w:szCs w:val="24"/>
              </w:rPr>
              <w:t>the Concession Contracts Regulations 2016 (SI 2016/273</w:t>
            </w:r>
            <w:proofErr w:type="gramStart"/>
            <w:r>
              <w:rPr>
                <w:rFonts w:ascii="Arial" w:eastAsia="Arial" w:hAnsi="Arial" w:cs="Arial"/>
                <w:color w:val="000000"/>
                <w:sz w:val="24"/>
                <w:szCs w:val="24"/>
              </w:rPr>
              <w:t>);</w:t>
            </w:r>
            <w:proofErr w:type="gramEnd"/>
          </w:p>
          <w:p w14:paraId="30A1CB10"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sz w:val="24"/>
                <w:szCs w:val="24"/>
              </w:rPr>
            </w:pPr>
            <w:r>
              <w:rPr>
                <w:rFonts w:ascii="Arial" w:eastAsia="Arial" w:hAnsi="Arial" w:cs="Arial"/>
                <w:color w:val="000000"/>
                <w:sz w:val="24"/>
                <w:szCs w:val="24"/>
              </w:rPr>
              <w:t>the Utilities Contracts Regulations 2016 (SI 2</w:t>
            </w:r>
            <w:r>
              <w:rPr>
                <w:rFonts w:ascii="Arial" w:eastAsia="Arial" w:hAnsi="Arial" w:cs="Arial"/>
                <w:color w:val="000000"/>
                <w:sz w:val="24"/>
                <w:szCs w:val="24"/>
              </w:rPr>
              <w:t>016/274</w:t>
            </w:r>
            <w:proofErr w:type="gramStart"/>
            <w:r>
              <w:rPr>
                <w:rFonts w:ascii="Arial" w:eastAsia="Arial" w:hAnsi="Arial" w:cs="Arial"/>
                <w:color w:val="000000"/>
                <w:sz w:val="24"/>
                <w:szCs w:val="24"/>
              </w:rPr>
              <w:t>);</w:t>
            </w:r>
            <w:proofErr w:type="gramEnd"/>
          </w:p>
          <w:p w14:paraId="30A1CB11"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sz w:val="24"/>
                <w:szCs w:val="24"/>
              </w:rPr>
            </w:pPr>
            <w:r>
              <w:rPr>
                <w:rFonts w:ascii="Arial" w:eastAsia="Arial" w:hAnsi="Arial" w:cs="Arial"/>
                <w:color w:val="000000"/>
                <w:sz w:val="24"/>
                <w:szCs w:val="24"/>
              </w:rPr>
              <w:t>the Defence and Security Public Contracts Regulations 2011 (SI 2011/1848</w:t>
            </w:r>
            <w:proofErr w:type="gramStart"/>
            <w:r>
              <w:rPr>
                <w:rFonts w:ascii="Arial" w:eastAsia="Arial" w:hAnsi="Arial" w:cs="Arial"/>
                <w:color w:val="000000"/>
                <w:sz w:val="24"/>
                <w:szCs w:val="24"/>
              </w:rPr>
              <w:t>);</w:t>
            </w:r>
            <w:proofErr w:type="gramEnd"/>
          </w:p>
          <w:p w14:paraId="30A1CB12"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sz w:val="24"/>
                <w:szCs w:val="24"/>
              </w:rPr>
            </w:pPr>
            <w:r>
              <w:rPr>
                <w:rFonts w:ascii="Arial" w:eastAsia="Arial" w:hAnsi="Arial" w:cs="Arial"/>
                <w:color w:val="000000"/>
                <w:sz w:val="24"/>
                <w:szCs w:val="24"/>
              </w:rPr>
              <w:t>the Remedies Directive (2007/66/EC</w:t>
            </w:r>
            <w:proofErr w:type="gramStart"/>
            <w:r>
              <w:rPr>
                <w:rFonts w:ascii="Arial" w:eastAsia="Arial" w:hAnsi="Arial" w:cs="Arial"/>
                <w:color w:val="000000"/>
                <w:sz w:val="24"/>
                <w:szCs w:val="24"/>
              </w:rPr>
              <w:t>);</w:t>
            </w:r>
            <w:proofErr w:type="gramEnd"/>
          </w:p>
          <w:p w14:paraId="30A1CB13"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sz w:val="24"/>
                <w:szCs w:val="24"/>
              </w:rPr>
            </w:pPr>
            <w:r>
              <w:rPr>
                <w:rFonts w:ascii="Arial" w:eastAsia="Arial" w:hAnsi="Arial" w:cs="Arial"/>
                <w:color w:val="000000"/>
                <w:sz w:val="24"/>
                <w:szCs w:val="24"/>
              </w:rPr>
              <w:t xml:space="preserve">Directive 2014/23/EU of the European Parliament and </w:t>
            </w:r>
            <w:proofErr w:type="gramStart"/>
            <w:r>
              <w:rPr>
                <w:rFonts w:ascii="Arial" w:eastAsia="Arial" w:hAnsi="Arial" w:cs="Arial"/>
                <w:color w:val="000000"/>
                <w:sz w:val="24"/>
                <w:szCs w:val="24"/>
              </w:rPr>
              <w:t>Council;</w:t>
            </w:r>
            <w:proofErr w:type="gramEnd"/>
          </w:p>
          <w:p w14:paraId="30A1CB14"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sz w:val="24"/>
                <w:szCs w:val="24"/>
              </w:rPr>
            </w:pPr>
            <w:r>
              <w:rPr>
                <w:rFonts w:ascii="Arial" w:eastAsia="Arial" w:hAnsi="Arial" w:cs="Arial"/>
                <w:color w:val="000000"/>
                <w:sz w:val="24"/>
                <w:szCs w:val="24"/>
              </w:rPr>
              <w:t xml:space="preserve">Directive 2014/24/EU of the European Parliament and </w:t>
            </w:r>
            <w:proofErr w:type="gramStart"/>
            <w:r>
              <w:rPr>
                <w:rFonts w:ascii="Arial" w:eastAsia="Arial" w:hAnsi="Arial" w:cs="Arial"/>
                <w:color w:val="000000"/>
                <w:sz w:val="24"/>
                <w:szCs w:val="24"/>
              </w:rPr>
              <w:t>Council;</w:t>
            </w:r>
            <w:proofErr w:type="gramEnd"/>
          </w:p>
          <w:p w14:paraId="30A1CB15"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sz w:val="24"/>
                <w:szCs w:val="24"/>
              </w:rPr>
            </w:pPr>
            <w:r>
              <w:rPr>
                <w:rFonts w:ascii="Arial" w:eastAsia="Arial" w:hAnsi="Arial" w:cs="Arial"/>
                <w:color w:val="000000"/>
                <w:sz w:val="24"/>
                <w:szCs w:val="24"/>
              </w:rPr>
              <w:t>Directive 20</w:t>
            </w:r>
            <w:r>
              <w:rPr>
                <w:rFonts w:ascii="Arial" w:eastAsia="Arial" w:hAnsi="Arial" w:cs="Arial"/>
                <w:color w:val="000000"/>
                <w:sz w:val="24"/>
                <w:szCs w:val="24"/>
              </w:rPr>
              <w:t>14/25/EU of the European Parliament and Council; or</w:t>
            </w:r>
          </w:p>
          <w:p w14:paraId="30A1CB16" w14:textId="77777777" w:rsidR="00A628B5" w:rsidRDefault="00726FC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A628B5" w14:paraId="30A1CB1A"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0A1CB1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0A1CB19" w14:textId="77777777" w:rsidR="00A628B5" w:rsidRDefault="00726FC7">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the contract between the Exempt Buyer and the Supplier for Deliverables which consists of the terms set out and referred to in the Order Form incorporating and, where necessary, amending, </w:t>
            </w:r>
            <w:proofErr w:type="gramStart"/>
            <w:r>
              <w:rPr>
                <w:rFonts w:ascii="Arial" w:eastAsia="Arial" w:hAnsi="Arial" w:cs="Arial"/>
                <w:color w:val="000000"/>
                <w:sz w:val="24"/>
                <w:szCs w:val="24"/>
              </w:rPr>
              <w:t>refining</w:t>
            </w:r>
            <w:proofErr w:type="gramEnd"/>
            <w:r>
              <w:rPr>
                <w:rFonts w:ascii="Arial" w:eastAsia="Arial" w:hAnsi="Arial" w:cs="Arial"/>
                <w:color w:val="000000"/>
                <w:sz w:val="24"/>
                <w:szCs w:val="24"/>
              </w:rPr>
              <w:t xml:space="preserve"> or adding to the terms of the Framework Contract;</w:t>
            </w:r>
          </w:p>
        </w:tc>
      </w:tr>
      <w:tr w:rsidR="00A628B5" w14:paraId="30A1CB1D"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0A1CB1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“Exempt </w:t>
            </w:r>
            <w:r>
              <w:rPr>
                <w:rFonts w:ascii="Arial" w:eastAsia="Arial" w:hAnsi="Arial" w:cs="Arial"/>
                <w:b/>
                <w:color w:val="000000"/>
                <w:sz w:val="24"/>
                <w:szCs w:val="24"/>
              </w:rPr>
              <w:t>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0A1CB1C" w14:textId="77777777" w:rsidR="00A628B5" w:rsidRDefault="00726FC7">
            <w:pPr>
              <w:pBdr>
                <w:top w:val="nil"/>
                <w:left w:val="nil"/>
                <w:bottom w:val="nil"/>
                <w:right w:val="nil"/>
                <w:between w:val="nil"/>
              </w:pBdr>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any amendments, </w:t>
            </w:r>
            <w:proofErr w:type="gramStart"/>
            <w:r>
              <w:rPr>
                <w:rFonts w:ascii="Arial" w:eastAsia="Arial" w:hAnsi="Arial" w:cs="Arial"/>
                <w:color w:val="000000"/>
                <w:sz w:val="24"/>
                <w:szCs w:val="24"/>
              </w:rPr>
              <w:t>refinements</w:t>
            </w:r>
            <w:proofErr w:type="gramEnd"/>
            <w:r>
              <w:rPr>
                <w:rFonts w:ascii="Arial" w:eastAsia="Arial" w:hAnsi="Arial" w:cs="Arial"/>
                <w:color w:val="000000"/>
                <w:sz w:val="24"/>
                <w:szCs w:val="24"/>
              </w:rPr>
              <w:t xml:space="preserve"> or additions to any of the terms of the Framework Contract made through the Exempt Call-off Contract to reflect the specific needs of an Exempt Buyer to the extent permitted by and in accordance with any legal requirements appli</w:t>
            </w:r>
            <w:r>
              <w:rPr>
                <w:rFonts w:ascii="Arial" w:eastAsia="Arial" w:hAnsi="Arial" w:cs="Arial"/>
                <w:color w:val="000000"/>
                <w:sz w:val="24"/>
                <w:szCs w:val="24"/>
              </w:rPr>
              <w:t>cable to that Exempt Buyer;</w:t>
            </w:r>
          </w:p>
        </w:tc>
      </w:tr>
    </w:tbl>
    <w:p w14:paraId="30A1CB1E" w14:textId="77777777" w:rsidR="00A628B5" w:rsidRDefault="00A628B5">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A628B5" w14:paraId="30A1CB21" w14:textId="77777777">
        <w:tc>
          <w:tcPr>
            <w:tcW w:w="2405" w:type="dxa"/>
          </w:tcPr>
          <w:p w14:paraId="30A1CB1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342" w:type="dxa"/>
          </w:tcPr>
          <w:p w14:paraId="30A1CB2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628B5" w14:paraId="30A1CB24" w14:textId="77777777">
        <w:tc>
          <w:tcPr>
            <w:tcW w:w="2405" w:type="dxa"/>
          </w:tcPr>
          <w:p w14:paraId="30A1CB2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"Existing Service"</w:t>
            </w:r>
          </w:p>
        </w:tc>
        <w:tc>
          <w:tcPr>
            <w:tcW w:w="7342" w:type="dxa"/>
          </w:tcPr>
          <w:p w14:paraId="30A1CB23" w14:textId="77777777" w:rsidR="00A628B5" w:rsidRDefault="00726FC7">
            <w:pPr>
              <w:spacing w:line="276" w:lineRule="auto"/>
              <w:rPr>
                <w:rFonts w:ascii="Arial" w:eastAsia="Arial" w:hAnsi="Arial" w:cs="Arial"/>
                <w:sz w:val="24"/>
                <w:szCs w:val="24"/>
              </w:rPr>
            </w:pPr>
            <w:r>
              <w:rPr>
                <w:rFonts w:ascii="Arial" w:eastAsia="Arial" w:hAnsi="Arial" w:cs="Arial"/>
                <w:sz w:val="24"/>
                <w:szCs w:val="24"/>
              </w:rPr>
              <w:t>a service that is already being provided either in-house or</w:t>
            </w:r>
            <w:r>
              <w:rPr>
                <w:rFonts w:ascii="Arial" w:eastAsia="Arial" w:hAnsi="Arial" w:cs="Arial"/>
                <w:sz w:val="24"/>
                <w:szCs w:val="24"/>
              </w:rPr>
              <w:t xml:space="preserve"> outsourced;</w:t>
            </w:r>
          </w:p>
        </w:tc>
      </w:tr>
      <w:tr w:rsidR="00A628B5" w14:paraId="30A1CB27" w14:textId="77777777">
        <w:tc>
          <w:tcPr>
            <w:tcW w:w="2405" w:type="dxa"/>
          </w:tcPr>
          <w:p w14:paraId="30A1CB2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14:paraId="30A1CB2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A628B5" w14:paraId="30A1CB2A" w14:textId="77777777">
        <w:tc>
          <w:tcPr>
            <w:tcW w:w="2405" w:type="dxa"/>
          </w:tcPr>
          <w:p w14:paraId="30A1CB2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42" w:type="dxa"/>
          </w:tcPr>
          <w:p w14:paraId="30A1CB29" w14:textId="77777777" w:rsidR="00A628B5" w:rsidRDefault="00726FC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628B5" w14:paraId="30A1CB2D" w14:textId="77777777">
        <w:tc>
          <w:tcPr>
            <w:tcW w:w="2405" w:type="dxa"/>
          </w:tcPr>
          <w:p w14:paraId="30A1CB2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42" w:type="dxa"/>
          </w:tcPr>
          <w:p w14:paraId="30A1CB2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628B5" w14:paraId="30A1CB35" w14:textId="77777777">
        <w:tc>
          <w:tcPr>
            <w:tcW w:w="2405" w:type="dxa"/>
          </w:tcPr>
          <w:p w14:paraId="30A1CB2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342" w:type="dxa"/>
          </w:tcPr>
          <w:p w14:paraId="30A1CB2F"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 xml:space="preserve">the credit rating of the Supplier, any Guarantor or any Key Subcontractor drops below Credit Rating Threshold of the relevant Rating </w:t>
            </w:r>
            <w:proofErr w:type="gramStart"/>
            <w:r>
              <w:rPr>
                <w:rFonts w:ascii="Arial" w:eastAsia="Arial" w:hAnsi="Arial" w:cs="Arial"/>
                <w:color w:val="000000"/>
                <w:sz w:val="24"/>
                <w:szCs w:val="24"/>
              </w:rPr>
              <w:t>Agency;</w:t>
            </w:r>
            <w:proofErr w:type="gramEnd"/>
          </w:p>
          <w:p w14:paraId="30A1CB30"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issues a profits warning to a stock exchange or makes any othe</w:t>
            </w:r>
            <w:r>
              <w:rPr>
                <w:rFonts w:ascii="Arial" w:eastAsia="Arial" w:hAnsi="Arial" w:cs="Arial"/>
                <w:color w:val="000000"/>
                <w:sz w:val="24"/>
                <w:szCs w:val="24"/>
              </w:rPr>
              <w:t xml:space="preserve">r public announcement, in each case about a material deterioration in its financial position or </w:t>
            </w:r>
            <w:proofErr w:type="gramStart"/>
            <w:r>
              <w:rPr>
                <w:rFonts w:ascii="Arial" w:eastAsia="Arial" w:hAnsi="Arial" w:cs="Arial"/>
                <w:color w:val="000000"/>
                <w:sz w:val="24"/>
                <w:szCs w:val="24"/>
              </w:rPr>
              <w:t>prospects;</w:t>
            </w:r>
            <w:proofErr w:type="gramEnd"/>
          </w:p>
          <w:p w14:paraId="30A1CB31"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the Supplier, any Gu</w:t>
            </w:r>
            <w:r>
              <w:rPr>
                <w:rFonts w:ascii="Arial" w:eastAsia="Arial" w:hAnsi="Arial" w:cs="Arial"/>
                <w:color w:val="000000"/>
                <w:sz w:val="24"/>
                <w:szCs w:val="24"/>
              </w:rPr>
              <w:t xml:space="preserve">arantor or any Key </w:t>
            </w:r>
            <w:proofErr w:type="gramStart"/>
            <w:r>
              <w:rPr>
                <w:rFonts w:ascii="Arial" w:eastAsia="Arial" w:hAnsi="Arial" w:cs="Arial"/>
                <w:color w:val="000000"/>
                <w:sz w:val="24"/>
                <w:szCs w:val="24"/>
              </w:rPr>
              <w:t>Subcontractor;</w:t>
            </w:r>
            <w:proofErr w:type="gramEnd"/>
          </w:p>
          <w:p w14:paraId="30A1CB32"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 xml:space="preserve">the Supplier, any Guarantor or any Key Subcontractor commits a material breach of covenant to its </w:t>
            </w:r>
            <w:proofErr w:type="gramStart"/>
            <w:r>
              <w:rPr>
                <w:rFonts w:ascii="Arial" w:eastAsia="Arial" w:hAnsi="Arial" w:cs="Arial"/>
                <w:color w:val="000000"/>
                <w:sz w:val="24"/>
                <w:szCs w:val="24"/>
              </w:rPr>
              <w:t>lenders;</w:t>
            </w:r>
            <w:proofErr w:type="gramEnd"/>
          </w:p>
          <w:p w14:paraId="30A1CB33"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w:t>
            </w:r>
            <w:r>
              <w:rPr>
                <w:rFonts w:ascii="Arial" w:eastAsia="Arial" w:hAnsi="Arial" w:cs="Arial"/>
                <w:color w:val="000000"/>
                <w:sz w:val="24"/>
                <w:szCs w:val="24"/>
              </w:rPr>
              <w:t>nder a specified invoice and not subject to a genuine dispute; or</w:t>
            </w:r>
          </w:p>
          <w:p w14:paraId="30A1CB34"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any of the following in respect of the Supplier, any Guarantor or any Key Subcontractor: (i) commencement of any litigation with respect to financial indebtedness greater than £5m or obligat</w:t>
            </w:r>
            <w:r>
              <w:rPr>
                <w:rFonts w:ascii="Arial" w:eastAsia="Arial" w:hAnsi="Arial" w:cs="Arial"/>
                <w:color w:val="000000"/>
                <w:sz w:val="24"/>
                <w:szCs w:val="24"/>
              </w:rPr>
              <w:t xml:space="preserve">ions under a service contract with a total contract value greater than £5m; ii) non-payment of any financial indebtedness; iii) any financial indebtedness becoming due as a result of an event of default; iv) the cancellation or suspension of any financial </w:t>
            </w:r>
            <w:r>
              <w:rPr>
                <w:rFonts w:ascii="Arial" w:eastAsia="Arial" w:hAnsi="Arial" w:cs="Arial"/>
                <w:color w:val="000000"/>
                <w:sz w:val="24"/>
                <w:szCs w:val="24"/>
              </w:rPr>
              <w:t>indebtedness or v) an external auditor expressing a qualified opinion on, or including an emphasis of matter in, its opinion on the statutory accounts of that entity, in each case which the Relevant Authority reasonably believes (or would be likely reasona</w:t>
            </w:r>
            <w:r>
              <w:rPr>
                <w:rFonts w:ascii="Arial" w:eastAsia="Arial" w:hAnsi="Arial" w:cs="Arial"/>
                <w:color w:val="000000"/>
                <w:sz w:val="24"/>
                <w:szCs w:val="24"/>
              </w:rPr>
              <w:t>bly to believe) could directly impact on the continued provision of the Deliverables in accordance with the Contract;</w:t>
            </w:r>
          </w:p>
        </w:tc>
      </w:tr>
      <w:tr w:rsidR="00A628B5" w14:paraId="30A1CB3C" w14:textId="77777777">
        <w:tc>
          <w:tcPr>
            <w:tcW w:w="2405" w:type="dxa"/>
          </w:tcPr>
          <w:p w14:paraId="30A1CB36" w14:textId="77777777" w:rsidR="00A628B5" w:rsidRDefault="00726FC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7342" w:type="dxa"/>
          </w:tcPr>
          <w:p w14:paraId="30A1CB3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30A1CB38"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Supplier Profit Margin forecast by the </w:t>
            </w:r>
            <w:proofErr w:type="gramStart"/>
            <w:r>
              <w:rPr>
                <w:rFonts w:ascii="Arial" w:eastAsia="Arial" w:hAnsi="Arial" w:cs="Arial"/>
                <w:color w:val="000000"/>
                <w:sz w:val="24"/>
                <w:szCs w:val="24"/>
              </w:rPr>
              <w:t>Supplier;</w:t>
            </w:r>
            <w:proofErr w:type="gramEnd"/>
          </w:p>
          <w:p w14:paraId="30A1CB39"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expenses to be incurred by Key subcontractors (as requested by the Buyer</w:t>
            </w:r>
            <w:proofErr w:type="gramStart"/>
            <w:r>
              <w:rPr>
                <w:rFonts w:ascii="Arial" w:eastAsia="Arial" w:hAnsi="Arial" w:cs="Arial"/>
                <w:color w:val="000000"/>
                <w:sz w:val="24"/>
                <w:szCs w:val="24"/>
              </w:rPr>
              <w:t>);</w:t>
            </w:r>
            <w:proofErr w:type="gramEnd"/>
          </w:p>
          <w:p w14:paraId="30A1CB3A"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is in the same software pa</w:t>
            </w:r>
            <w:r>
              <w:rPr>
                <w:rFonts w:ascii="Arial" w:eastAsia="Arial" w:hAnsi="Arial" w:cs="Arial"/>
                <w:color w:val="000000"/>
                <w:sz w:val="24"/>
                <w:szCs w:val="24"/>
              </w:rPr>
              <w:t>ckage (Microsoft Excel or Microsoft Word), layout and format as the blank templates which have been issued by the Buyer to the Supplier on or before the Start Date for the purposes of the Contract; and</w:t>
            </w:r>
          </w:p>
          <w:p w14:paraId="30A1CB3B"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w:t>
            </w:r>
            <w:r>
              <w:rPr>
                <w:rFonts w:ascii="Arial" w:eastAsia="Arial" w:hAnsi="Arial" w:cs="Arial"/>
                <w:color w:val="000000"/>
                <w:sz w:val="24"/>
                <w:szCs w:val="24"/>
              </w:rPr>
              <w:t xml:space="preserve"> or Director of Finance;</w:t>
            </w:r>
          </w:p>
        </w:tc>
      </w:tr>
      <w:tr w:rsidR="00A628B5" w14:paraId="30A1CB3F" w14:textId="77777777">
        <w:tc>
          <w:tcPr>
            <w:tcW w:w="2405" w:type="dxa"/>
          </w:tcPr>
          <w:p w14:paraId="30A1CB3D" w14:textId="77777777" w:rsidR="00A628B5" w:rsidRDefault="00726FC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7342" w:type="dxa"/>
          </w:tcPr>
          <w:p w14:paraId="30A1CB3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reasonably skilled and experienced member of the Supplier Staff who has specific responsibility for preparing, maintaining, facilitating access to, </w:t>
            </w:r>
            <w:proofErr w:type="gramStart"/>
            <w:r>
              <w:rPr>
                <w:rFonts w:ascii="Arial" w:eastAsia="Arial" w:hAnsi="Arial" w:cs="Arial"/>
                <w:color w:val="000000"/>
                <w:sz w:val="24"/>
                <w:szCs w:val="24"/>
              </w:rPr>
              <w:t>discussing</w:t>
            </w:r>
            <w:proofErr w:type="gramEnd"/>
            <w:r>
              <w:rPr>
                <w:rFonts w:ascii="Arial" w:eastAsia="Arial" w:hAnsi="Arial" w:cs="Arial"/>
                <w:color w:val="000000"/>
                <w:sz w:val="24"/>
                <w:szCs w:val="24"/>
              </w:rPr>
              <w:t xml:space="preserve"> and explaining the records and accounts of everything to do with the Contract (as referred to i</w:t>
            </w:r>
            <w:r>
              <w:rPr>
                <w:rFonts w:ascii="Arial" w:eastAsia="Arial" w:hAnsi="Arial" w:cs="Arial"/>
                <w:color w:val="000000"/>
                <w:sz w:val="24"/>
                <w:szCs w:val="24"/>
              </w:rPr>
              <w:t>n Clause 6), Financial Reports and Open Book Data;</w:t>
            </w:r>
          </w:p>
        </w:tc>
      </w:tr>
      <w:tr w:rsidR="00A628B5" w14:paraId="30A1CB47" w14:textId="77777777">
        <w:tc>
          <w:tcPr>
            <w:tcW w:w="2405" w:type="dxa"/>
          </w:tcPr>
          <w:p w14:paraId="30A1CB40" w14:textId="77777777" w:rsidR="00A628B5" w:rsidRDefault="00726FC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7342" w:type="dxa"/>
          </w:tcPr>
          <w:p w14:paraId="30A1CB41"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 xml:space="preserve">the Buyer having a clear analysis of the Costs, Overhead recoveries (where relevant), time spent by Supplier Staff in providing the Services and Supplier Profit Margin so that it can understand any payment sought by the </w:t>
            </w:r>
            <w:proofErr w:type="gramStart"/>
            <w:r>
              <w:rPr>
                <w:rFonts w:ascii="Arial" w:eastAsia="Arial" w:hAnsi="Arial" w:cs="Arial"/>
                <w:color w:val="000000"/>
                <w:sz w:val="24"/>
                <w:szCs w:val="24"/>
              </w:rPr>
              <w:t>Supplier;</w:t>
            </w:r>
            <w:proofErr w:type="gramEnd"/>
          </w:p>
          <w:p w14:paraId="30A1CB42"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 xml:space="preserve">the Parties being able to </w:t>
            </w:r>
            <w:r>
              <w:rPr>
                <w:rFonts w:ascii="Arial" w:eastAsia="Arial" w:hAnsi="Arial" w:cs="Arial"/>
                <w:color w:val="000000"/>
                <w:sz w:val="24"/>
                <w:szCs w:val="24"/>
              </w:rPr>
              <w:t xml:space="preserve">understand Costs forecasts and to have confidence that these are based on justifiable numbers and appropriate forecasting </w:t>
            </w:r>
            <w:proofErr w:type="gramStart"/>
            <w:r>
              <w:rPr>
                <w:rFonts w:ascii="Arial" w:eastAsia="Arial" w:hAnsi="Arial" w:cs="Arial"/>
                <w:color w:val="000000"/>
                <w:sz w:val="24"/>
                <w:szCs w:val="24"/>
              </w:rPr>
              <w:t>techniques;</w:t>
            </w:r>
            <w:proofErr w:type="gramEnd"/>
          </w:p>
          <w:p w14:paraId="30A1CB43"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w:t>
            </w:r>
            <w:r>
              <w:rPr>
                <w:rFonts w:ascii="Arial" w:eastAsia="Arial" w:hAnsi="Arial" w:cs="Arial"/>
                <w:color w:val="000000"/>
                <w:sz w:val="24"/>
                <w:szCs w:val="24"/>
              </w:rPr>
              <w:t xml:space="preserve">ow these could be mitigated and/or reflected in the </w:t>
            </w:r>
            <w:proofErr w:type="gramStart"/>
            <w:r>
              <w:rPr>
                <w:rFonts w:ascii="Arial" w:eastAsia="Arial" w:hAnsi="Arial" w:cs="Arial"/>
                <w:color w:val="000000"/>
                <w:sz w:val="24"/>
                <w:szCs w:val="24"/>
              </w:rPr>
              <w:t>Charges;</w:t>
            </w:r>
            <w:proofErr w:type="gramEnd"/>
          </w:p>
          <w:p w14:paraId="30A1CB44"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 xml:space="preserve">the Parties being able to review, address issues with and re-forecast progress in relation to the provision of the </w:t>
            </w:r>
            <w:proofErr w:type="gramStart"/>
            <w:r>
              <w:rPr>
                <w:rFonts w:ascii="Arial" w:eastAsia="Arial" w:hAnsi="Arial" w:cs="Arial"/>
                <w:color w:val="000000"/>
                <w:sz w:val="24"/>
                <w:szCs w:val="24"/>
              </w:rPr>
              <w:t>Services;</w:t>
            </w:r>
            <w:proofErr w:type="gramEnd"/>
          </w:p>
          <w:p w14:paraId="30A1CB45"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w:t>
            </w:r>
            <w:r>
              <w:rPr>
                <w:rFonts w:ascii="Arial" w:eastAsia="Arial" w:hAnsi="Arial" w:cs="Arial"/>
                <w:color w:val="000000"/>
                <w:sz w:val="24"/>
                <w:szCs w:val="24"/>
              </w:rPr>
              <w:t>vements; and</w:t>
            </w:r>
          </w:p>
          <w:p w14:paraId="30A1CB46" w14:textId="77777777" w:rsidR="00A628B5" w:rsidRDefault="00726FC7">
            <w:pPr>
              <w:numPr>
                <w:ilvl w:val="1"/>
                <w:numId w:val="2"/>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 xml:space="preserve">enabling the Buyer to demonstrate that it is achieving value for money for the </w:t>
            </w:r>
            <w:proofErr w:type="gramStart"/>
            <w:r>
              <w:rPr>
                <w:rFonts w:ascii="Arial" w:eastAsia="Arial" w:hAnsi="Arial" w:cs="Arial"/>
                <w:color w:val="000000"/>
                <w:sz w:val="24"/>
                <w:szCs w:val="24"/>
              </w:rPr>
              <w:t>tax payer</w:t>
            </w:r>
            <w:proofErr w:type="gramEnd"/>
            <w:r>
              <w:rPr>
                <w:rFonts w:ascii="Arial" w:eastAsia="Arial" w:hAnsi="Arial" w:cs="Arial"/>
                <w:color w:val="000000"/>
                <w:sz w:val="24"/>
                <w:szCs w:val="24"/>
              </w:rPr>
              <w:t xml:space="preserve"> relative to current market prices;</w:t>
            </w:r>
          </w:p>
        </w:tc>
      </w:tr>
      <w:tr w:rsidR="00A628B5" w14:paraId="30A1CB4A" w14:textId="77777777">
        <w:tc>
          <w:tcPr>
            <w:tcW w:w="2405" w:type="dxa"/>
          </w:tcPr>
          <w:p w14:paraId="30A1CB48" w14:textId="77777777" w:rsidR="00A628B5" w:rsidRDefault="00726FC7">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“Flexible Working”</w:t>
            </w:r>
          </w:p>
        </w:tc>
        <w:tc>
          <w:tcPr>
            <w:tcW w:w="7342" w:type="dxa"/>
          </w:tcPr>
          <w:p w14:paraId="30A1CB49" w14:textId="77777777" w:rsidR="00A628B5" w:rsidRDefault="00726FC7">
            <w:pPr>
              <w:pBdr>
                <w:top w:val="nil"/>
                <w:left w:val="nil"/>
                <w:bottom w:val="nil"/>
                <w:right w:val="nil"/>
                <w:between w:val="nil"/>
              </w:pBdr>
              <w:tabs>
                <w:tab w:val="left" w:pos="-179"/>
                <w:tab w:val="left" w:pos="-9"/>
              </w:tabs>
              <w:spacing w:after="120"/>
              <w:ind w:left="432" w:hanging="259"/>
              <w:jc w:val="both"/>
              <w:rPr>
                <w:rFonts w:ascii="Arial" w:eastAsia="Arial" w:hAnsi="Arial" w:cs="Arial"/>
                <w:sz w:val="24"/>
                <w:szCs w:val="24"/>
              </w:rPr>
            </w:pPr>
            <w:r>
              <w:rPr>
                <w:rFonts w:ascii="Arial" w:eastAsia="Arial" w:hAnsi="Arial" w:cs="Arial"/>
                <w:sz w:val="24"/>
                <w:szCs w:val="24"/>
              </w:rPr>
              <w:t xml:space="preserve">also known as flextime or flexitime, refers to non-traditional working arrangements that </w:t>
            </w:r>
            <w:proofErr w:type="gramStart"/>
            <w:r>
              <w:rPr>
                <w:rFonts w:ascii="Arial" w:eastAsia="Arial" w:hAnsi="Arial" w:cs="Arial"/>
                <w:sz w:val="24"/>
                <w:szCs w:val="24"/>
              </w:rPr>
              <w:t>take into account</w:t>
            </w:r>
            <w:proofErr w:type="gramEnd"/>
            <w:r>
              <w:rPr>
                <w:rFonts w:ascii="Arial" w:eastAsia="Arial" w:hAnsi="Arial" w:cs="Arial"/>
                <w:sz w:val="24"/>
                <w:szCs w:val="24"/>
              </w:rPr>
              <w:t xml:space="preserve"> an individual's personal needs</w:t>
            </w:r>
          </w:p>
        </w:tc>
      </w:tr>
      <w:tr w:rsidR="00A628B5" w14:paraId="30A1CB4D" w14:textId="77777777">
        <w:tc>
          <w:tcPr>
            <w:tcW w:w="2405" w:type="dxa"/>
          </w:tcPr>
          <w:p w14:paraId="30A1CB4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Pr>
          <w:p w14:paraId="30A1CB4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rFonts w:ascii="Arial" w:eastAsia="Arial" w:hAnsi="Arial" w:cs="Arial"/>
                <w:color w:val="000000"/>
                <w:sz w:val="24"/>
                <w:szCs w:val="24"/>
              </w:rPr>
              <w:t>lation;</w:t>
            </w:r>
          </w:p>
        </w:tc>
      </w:tr>
      <w:tr w:rsidR="00A628B5" w14:paraId="30A1CB55" w14:textId="77777777">
        <w:tc>
          <w:tcPr>
            <w:tcW w:w="2405" w:type="dxa"/>
          </w:tcPr>
          <w:p w14:paraId="30A1CB4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42" w:type="dxa"/>
          </w:tcPr>
          <w:p w14:paraId="30A1CB4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event outside the reasonable control of either Party affecting its performance of its obligations under the Contract arising from acts, events, omissions, </w:t>
            </w:r>
            <w:proofErr w:type="gramStart"/>
            <w:r>
              <w:rPr>
                <w:rFonts w:ascii="Arial" w:eastAsia="Arial" w:hAnsi="Arial" w:cs="Arial"/>
                <w:color w:val="000000"/>
                <w:sz w:val="24"/>
                <w:szCs w:val="24"/>
              </w:rPr>
              <w:t>happenings</w:t>
            </w:r>
            <w:proofErr w:type="gramEnd"/>
            <w:r>
              <w:rPr>
                <w:rFonts w:ascii="Arial" w:eastAsia="Arial" w:hAnsi="Arial" w:cs="Arial"/>
                <w:color w:val="000000"/>
                <w:sz w:val="24"/>
                <w:szCs w:val="24"/>
              </w:rPr>
              <w:t xml:space="preserve"> or non-happenings beyond its reasonable control and whi</w:t>
            </w:r>
            <w:r>
              <w:rPr>
                <w:rFonts w:ascii="Arial" w:eastAsia="Arial" w:hAnsi="Arial" w:cs="Arial"/>
                <w:color w:val="000000"/>
                <w:sz w:val="24"/>
                <w:szCs w:val="24"/>
              </w:rPr>
              <w:t>ch are not attributable to any wilful act, neglect or failure to take reasonable preventative action by that Party, including:</w:t>
            </w:r>
          </w:p>
          <w:p w14:paraId="30A1CB50"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riots, civil commotion, war or armed </w:t>
            </w:r>
            <w:proofErr w:type="gramStart"/>
            <w:r>
              <w:rPr>
                <w:rFonts w:ascii="Arial" w:eastAsia="Arial" w:hAnsi="Arial" w:cs="Arial"/>
                <w:color w:val="000000"/>
                <w:sz w:val="24"/>
                <w:szCs w:val="24"/>
              </w:rPr>
              <w:t>conflict;</w:t>
            </w:r>
            <w:proofErr w:type="gramEnd"/>
          </w:p>
          <w:p w14:paraId="30A1CB51"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acts of </w:t>
            </w:r>
            <w:proofErr w:type="gramStart"/>
            <w:r>
              <w:rPr>
                <w:rFonts w:ascii="Arial" w:eastAsia="Arial" w:hAnsi="Arial" w:cs="Arial"/>
                <w:color w:val="000000"/>
                <w:sz w:val="24"/>
                <w:szCs w:val="24"/>
              </w:rPr>
              <w:t>terrorism;</w:t>
            </w:r>
            <w:proofErr w:type="gramEnd"/>
          </w:p>
          <w:p w14:paraId="30A1CB52"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acts of government, local government or regulatory </w:t>
            </w:r>
            <w:proofErr w:type="gramStart"/>
            <w:r>
              <w:rPr>
                <w:rFonts w:ascii="Arial" w:eastAsia="Arial" w:hAnsi="Arial" w:cs="Arial"/>
                <w:color w:val="000000"/>
                <w:sz w:val="24"/>
                <w:szCs w:val="24"/>
              </w:rPr>
              <w:t>bodies;</w:t>
            </w:r>
            <w:proofErr w:type="gramEnd"/>
          </w:p>
          <w:p w14:paraId="30A1CB53" w14:textId="77777777" w:rsidR="00A628B5" w:rsidRDefault="00726FC7">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30A1CB5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A628B5" w14:paraId="30A1CB58" w14:textId="77777777">
        <w:tc>
          <w:tcPr>
            <w:tcW w:w="2405" w:type="dxa"/>
          </w:tcPr>
          <w:p w14:paraId="30A1CB5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14:paraId="30A1CB5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w:t>
            </w:r>
            <w:r>
              <w:rPr>
                <w:rFonts w:ascii="Arial" w:eastAsia="Arial" w:hAnsi="Arial" w:cs="Arial"/>
                <w:color w:val="000000"/>
                <w:sz w:val="24"/>
                <w:szCs w:val="24"/>
              </w:rPr>
              <w:t>t the Affected Party believes that there is a Force Majeure Event;</w:t>
            </w:r>
          </w:p>
        </w:tc>
      </w:tr>
      <w:tr w:rsidR="00A628B5" w14:paraId="30A1CB5B" w14:textId="77777777">
        <w:tc>
          <w:tcPr>
            <w:tcW w:w="2405" w:type="dxa"/>
          </w:tcPr>
          <w:p w14:paraId="30A1CB5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Pr>
          <w:p w14:paraId="30A1CB5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628B5" w14:paraId="30A1CB5E" w14:textId="77777777">
        <w:tc>
          <w:tcPr>
            <w:tcW w:w="2405" w:type="dxa"/>
          </w:tcPr>
          <w:p w14:paraId="30A1CB5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14:paraId="30A1CB5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framework agreement established between CCS and the Supplier in accordance with Regulation 33 by the Framework Award Form for the provision of the Deliverables to Buyers by the Supplier pursuant to the notice published on the Find </w:t>
            </w:r>
            <w:r>
              <w:rPr>
                <w:rFonts w:ascii="Arial" w:eastAsia="Arial" w:hAnsi="Arial" w:cs="Arial"/>
                <w:color w:val="000000"/>
                <w:sz w:val="24"/>
                <w:szCs w:val="24"/>
              </w:rPr>
              <w:t>a Tender Service;</w:t>
            </w:r>
          </w:p>
        </w:tc>
      </w:tr>
      <w:tr w:rsidR="00A628B5" w14:paraId="30A1CB61" w14:textId="77777777">
        <w:tc>
          <w:tcPr>
            <w:tcW w:w="2405" w:type="dxa"/>
          </w:tcPr>
          <w:p w14:paraId="30A1CB5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42" w:type="dxa"/>
          </w:tcPr>
          <w:p w14:paraId="30A1CB6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A628B5" w14:paraId="30A1CB64" w14:textId="77777777">
        <w:tc>
          <w:tcPr>
            <w:tcW w:w="2405" w:type="dxa"/>
          </w:tcPr>
          <w:p w14:paraId="30A1CB6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Pr>
          <w:p w14:paraId="30A1CB6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A628B5" w14:paraId="30A1CB67" w14:textId="77777777">
        <w:tc>
          <w:tcPr>
            <w:tcW w:w="2405" w:type="dxa"/>
          </w:tcPr>
          <w:p w14:paraId="30A1CB6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42" w:type="dxa"/>
          </w:tcPr>
          <w:p w14:paraId="30A1CB6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628B5" w14:paraId="30A1CB6A" w14:textId="77777777">
        <w:tc>
          <w:tcPr>
            <w:tcW w:w="2405" w:type="dxa"/>
          </w:tcPr>
          <w:p w14:paraId="30A1CB6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"Framework Optional Extension </w:t>
            </w:r>
            <w:r>
              <w:rPr>
                <w:rFonts w:ascii="Arial" w:eastAsia="Arial" w:hAnsi="Arial" w:cs="Arial"/>
                <w:b/>
                <w:color w:val="000000"/>
                <w:sz w:val="24"/>
                <w:szCs w:val="24"/>
              </w:rPr>
              <w:t>Period"</w:t>
            </w:r>
          </w:p>
        </w:tc>
        <w:tc>
          <w:tcPr>
            <w:tcW w:w="7342" w:type="dxa"/>
          </w:tcPr>
          <w:p w14:paraId="30A1CB6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A628B5" w14:paraId="30A1CB6D" w14:textId="77777777">
        <w:tc>
          <w:tcPr>
            <w:tcW w:w="2405" w:type="dxa"/>
          </w:tcPr>
          <w:p w14:paraId="30A1CB6B"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42" w:type="dxa"/>
          </w:tcPr>
          <w:p w14:paraId="30A1CB6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628B5" w14:paraId="30A1CB70" w14:textId="77777777">
        <w:tc>
          <w:tcPr>
            <w:tcW w:w="2405" w:type="dxa"/>
          </w:tcPr>
          <w:p w14:paraId="30A1CB6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14:paraId="30A1CB6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628B5" w14:paraId="30A1CB73" w14:textId="77777777">
        <w:tc>
          <w:tcPr>
            <w:tcW w:w="2405" w:type="dxa"/>
          </w:tcPr>
          <w:p w14:paraId="30A1CB7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14:paraId="30A1CB7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628B5" w14:paraId="30A1CB76" w14:textId="77777777">
        <w:tc>
          <w:tcPr>
            <w:tcW w:w="2405" w:type="dxa"/>
          </w:tcPr>
          <w:p w14:paraId="30A1CB7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42" w:type="dxa"/>
          </w:tcPr>
          <w:p w14:paraId="30A1CB7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A628B5" w14:paraId="30A1CB79" w14:textId="77777777">
        <w:tc>
          <w:tcPr>
            <w:tcW w:w="2405" w:type="dxa"/>
          </w:tcPr>
          <w:p w14:paraId="30A1CB7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14:paraId="30A1CB7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A628B5" w14:paraId="30A1CB7C" w14:textId="77777777">
        <w:tc>
          <w:tcPr>
            <w:tcW w:w="2405" w:type="dxa"/>
          </w:tcPr>
          <w:p w14:paraId="30A1CB7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r>
              <w:rPr>
                <w:rFonts w:ascii="Arial" w:eastAsia="Arial" w:hAnsi="Arial" w:cs="Arial"/>
                <w:b/>
                <w:color w:val="000000"/>
                <w:sz w:val="24"/>
                <w:szCs w:val="24"/>
              </w:rPr>
              <w:t>"</w:t>
            </w:r>
          </w:p>
        </w:tc>
        <w:tc>
          <w:tcPr>
            <w:tcW w:w="7342" w:type="dxa"/>
          </w:tcPr>
          <w:p w14:paraId="30A1CB7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A628B5" w14:paraId="30A1CB80" w14:textId="77777777">
        <w:tc>
          <w:tcPr>
            <w:tcW w:w="2405" w:type="dxa"/>
          </w:tcPr>
          <w:p w14:paraId="30A1CB7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14:paraId="30A1CB7E"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w:t>
            </w: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and </w:t>
            </w:r>
          </w:p>
          <w:p w14:paraId="30A1CB7F"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628B5" w14:paraId="30A1CB83" w14:textId="77777777">
        <w:tc>
          <w:tcPr>
            <w:tcW w:w="2405" w:type="dxa"/>
          </w:tcPr>
          <w:p w14:paraId="30A1CB8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Pr>
          <w:p w14:paraId="30A1CB8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A628B5" w14:paraId="30A1CB86" w14:textId="77777777">
        <w:tc>
          <w:tcPr>
            <w:tcW w:w="2405" w:type="dxa"/>
          </w:tcPr>
          <w:p w14:paraId="30A1CB8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“General Ledger”</w:t>
            </w:r>
          </w:p>
        </w:tc>
        <w:tc>
          <w:tcPr>
            <w:tcW w:w="7342" w:type="dxa"/>
          </w:tcPr>
          <w:p w14:paraId="30A1CB85"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p>
        </w:tc>
      </w:tr>
      <w:tr w:rsidR="00A628B5" w14:paraId="30A1CB89" w14:textId="77777777">
        <w:tc>
          <w:tcPr>
            <w:tcW w:w="2405" w:type="dxa"/>
          </w:tcPr>
          <w:p w14:paraId="30A1CB8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“Global Design Principles”</w:t>
            </w:r>
          </w:p>
        </w:tc>
        <w:tc>
          <w:tcPr>
            <w:tcW w:w="7342" w:type="dxa"/>
          </w:tcPr>
          <w:p w14:paraId="30A1CB88"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sz w:val="24"/>
                <w:szCs w:val="24"/>
              </w:rPr>
            </w:pPr>
            <w:r>
              <w:rPr>
                <w:rFonts w:ascii="Arial" w:eastAsia="Arial" w:hAnsi="Arial" w:cs="Arial"/>
                <w:sz w:val="24"/>
                <w:szCs w:val="24"/>
              </w:rPr>
              <w:t>a set of common processes and procedures, which are used by core government departments and their arms' length bodies, (ALBs), to ensure consistency across government and f</w:t>
            </w:r>
            <w:r>
              <w:rPr>
                <w:rFonts w:ascii="Arial" w:eastAsia="Arial" w:hAnsi="Arial" w:cs="Arial"/>
                <w:sz w:val="24"/>
                <w:szCs w:val="24"/>
              </w:rPr>
              <w:t>acilitate greater sharing of expertise;</w:t>
            </w:r>
          </w:p>
        </w:tc>
      </w:tr>
      <w:tr w:rsidR="00A628B5" w14:paraId="30A1CB8C" w14:textId="77777777">
        <w:tc>
          <w:tcPr>
            <w:tcW w:w="2405" w:type="dxa"/>
          </w:tcPr>
          <w:p w14:paraId="30A1CB8A" w14:textId="77777777" w:rsidR="00A628B5" w:rsidRDefault="00726FC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42" w:type="dxa"/>
          </w:tcPr>
          <w:p w14:paraId="30A1CB8B" w14:textId="77777777" w:rsidR="00A628B5" w:rsidRDefault="00726FC7">
            <w:pPr>
              <w:spacing w:after="120"/>
              <w:ind w:left="-108"/>
              <w:rPr>
                <w:rFonts w:ascii="Arial" w:eastAsia="Arial" w:hAnsi="Arial" w:cs="Arial"/>
                <w:sz w:val="24"/>
                <w:szCs w:val="24"/>
              </w:rPr>
            </w:pPr>
            <w:r>
              <w:rPr>
                <w:rFonts w:ascii="Arial" w:eastAsia="Arial" w:hAnsi="Arial" w:cs="Arial"/>
                <w:sz w:val="24"/>
                <w:szCs w:val="24"/>
              </w:rPr>
              <w:t xml:space="preserve">A Call-Off Contract categorised as a </w:t>
            </w:r>
            <w:proofErr w:type="gramStart"/>
            <w:r>
              <w:rPr>
                <w:rFonts w:ascii="Arial" w:eastAsia="Arial" w:hAnsi="Arial" w:cs="Arial"/>
                <w:sz w:val="24"/>
                <w:szCs w:val="24"/>
              </w:rPr>
              <w:t>Gold</w:t>
            </w:r>
            <w:proofErr w:type="gramEnd"/>
            <w:r>
              <w:rPr>
                <w:rFonts w:ascii="Arial" w:eastAsia="Arial" w:hAnsi="Arial" w:cs="Arial"/>
                <w:sz w:val="24"/>
                <w:szCs w:val="24"/>
              </w:rPr>
              <w:t xml:space="preserve"> contract using the Cabinet Office Contract Tiering Tool.</w:t>
            </w:r>
          </w:p>
        </w:tc>
      </w:tr>
      <w:tr w:rsidR="00A628B5" w14:paraId="30A1CB8F" w14:textId="77777777">
        <w:tc>
          <w:tcPr>
            <w:tcW w:w="2405" w:type="dxa"/>
          </w:tcPr>
          <w:p w14:paraId="30A1CB8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Pr>
          <w:p w14:paraId="30A1CB8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A628B5" w14:paraId="30A1CB92" w14:textId="77777777">
        <w:tc>
          <w:tcPr>
            <w:tcW w:w="2405" w:type="dxa"/>
          </w:tcPr>
          <w:p w14:paraId="30A1CB9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Pr>
          <w:p w14:paraId="30A1CB9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standards, practices, </w:t>
            </w:r>
            <w:proofErr w:type="gramStart"/>
            <w:r>
              <w:rPr>
                <w:rFonts w:ascii="Arial" w:eastAsia="Arial" w:hAnsi="Arial" w:cs="Arial"/>
                <w:color w:val="000000"/>
                <w:sz w:val="24"/>
                <w:szCs w:val="24"/>
              </w:rPr>
              <w:t>methods</w:t>
            </w:r>
            <w:proofErr w:type="gramEnd"/>
            <w:r>
              <w:rPr>
                <w:rFonts w:ascii="Arial" w:eastAsia="Arial" w:hAnsi="Arial" w:cs="Arial"/>
                <w:color w:val="000000"/>
                <w:sz w:val="24"/>
                <w:szCs w:val="24"/>
              </w:rPr>
              <w:t xml:space="preserve"> and procedures conforming to the Law and the exercise of the degree of skill and care, diligence, prudence and foresight which would reasonably and ordinarily be expected from a skilled and experienced person or body engaged w</w:t>
            </w:r>
            <w:r>
              <w:rPr>
                <w:rFonts w:ascii="Arial" w:eastAsia="Arial" w:hAnsi="Arial" w:cs="Arial"/>
                <w:color w:val="000000"/>
                <w:sz w:val="24"/>
                <w:szCs w:val="24"/>
              </w:rPr>
              <w:t>ithin the relevant industry or business sector;</w:t>
            </w:r>
          </w:p>
        </w:tc>
      </w:tr>
      <w:tr w:rsidR="00A628B5" w14:paraId="30A1CB95" w14:textId="77777777">
        <w:tc>
          <w:tcPr>
            <w:tcW w:w="2405" w:type="dxa"/>
          </w:tcPr>
          <w:p w14:paraId="30A1CB9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14:paraId="30A1CB9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w:t>
            </w:r>
            <w:proofErr w:type="gramStart"/>
            <w:r>
              <w:rPr>
                <w:rFonts w:ascii="Arial" w:eastAsia="Arial" w:hAnsi="Arial" w:cs="Arial"/>
                <w:color w:val="000000"/>
                <w:sz w:val="24"/>
                <w:szCs w:val="24"/>
              </w:rPr>
              <w:t>Government</w:t>
            </w:r>
            <w:proofErr w:type="gramEnd"/>
            <w:r>
              <w:rPr>
                <w:rFonts w:ascii="Arial" w:eastAsia="Arial" w:hAnsi="Arial" w:cs="Arial"/>
                <w:color w:val="000000"/>
                <w:sz w:val="24"/>
                <w:szCs w:val="24"/>
              </w:rPr>
              <w:t xml:space="preserve"> and the National Assembly for Wales), including government minister</w:t>
            </w:r>
            <w:r>
              <w:rPr>
                <w:rFonts w:ascii="Arial" w:eastAsia="Arial" w:hAnsi="Arial" w:cs="Arial"/>
                <w:color w:val="000000"/>
                <w:sz w:val="24"/>
                <w:szCs w:val="24"/>
              </w:rPr>
              <w:t>s and government departments and other bodies, persons, commissions or agencies from time to time carrying out functions on its behalf;</w:t>
            </w:r>
          </w:p>
        </w:tc>
      </w:tr>
      <w:tr w:rsidR="00A628B5" w14:paraId="30A1CB9A" w14:textId="77777777">
        <w:tc>
          <w:tcPr>
            <w:tcW w:w="2405" w:type="dxa"/>
          </w:tcPr>
          <w:p w14:paraId="30A1CB9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Pr>
          <w:p w14:paraId="30A1CB97" w14:textId="77777777" w:rsidR="00A628B5" w:rsidRDefault="00726FC7">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w:t>
            </w:r>
            <w:proofErr w:type="gramStart"/>
            <w:r>
              <w:rPr>
                <w:rFonts w:ascii="Arial" w:eastAsia="Arial" w:hAnsi="Arial" w:cs="Arial"/>
                <w:color w:val="000000"/>
                <w:sz w:val="24"/>
                <w:szCs w:val="24"/>
              </w:rPr>
              <w:t>images</w:t>
            </w:r>
            <w:proofErr w:type="gramEnd"/>
            <w:r>
              <w:rPr>
                <w:rFonts w:ascii="Arial" w:eastAsia="Arial" w:hAnsi="Arial" w:cs="Arial"/>
                <w:color w:val="000000"/>
                <w:sz w:val="24"/>
                <w:szCs w:val="24"/>
              </w:rPr>
              <w:t xml:space="preserve"> or sounds (together with any database made up of any of these) which are embodied in any electronic, magnetic, optical or tangible media, including any of the Authority’s Confidential Information, and which:</w:t>
            </w:r>
          </w:p>
          <w:p w14:paraId="30A1CB98" w14:textId="77777777" w:rsidR="00A628B5" w:rsidRDefault="00726FC7">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14:paraId="30A1CB99" w14:textId="77777777" w:rsidR="00A628B5" w:rsidRDefault="00726FC7">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628B5" w14:paraId="30A1CB9D" w14:textId="77777777">
        <w:tc>
          <w:tcPr>
            <w:tcW w:w="2405" w:type="dxa"/>
          </w:tcPr>
          <w:p w14:paraId="30A1CB9B"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342" w:type="dxa"/>
          </w:tcPr>
          <w:p w14:paraId="30A1CB9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628B5" w14:paraId="30A1CBA0" w14:textId="77777777">
        <w:tc>
          <w:tcPr>
            <w:tcW w:w="2405" w:type="dxa"/>
          </w:tcPr>
          <w:p w14:paraId="30A1CB9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Pr>
          <w:p w14:paraId="30A1CB9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628B5" w14:paraId="30A1CBA3" w14:textId="77777777">
        <w:tc>
          <w:tcPr>
            <w:tcW w:w="2405" w:type="dxa"/>
          </w:tcPr>
          <w:p w14:paraId="30A1CBA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“Historic Volumes”</w:t>
            </w:r>
          </w:p>
        </w:tc>
        <w:tc>
          <w:tcPr>
            <w:tcW w:w="7342" w:type="dxa"/>
          </w:tcPr>
          <w:p w14:paraId="30A1CBA2" w14:textId="77777777" w:rsidR="00A628B5" w:rsidRDefault="00726FC7">
            <w:pPr>
              <w:spacing w:line="276" w:lineRule="auto"/>
              <w:rPr>
                <w:rFonts w:ascii="Arial" w:eastAsia="Arial" w:hAnsi="Arial" w:cs="Arial"/>
                <w:color w:val="000000"/>
                <w:sz w:val="24"/>
                <w:szCs w:val="24"/>
              </w:rPr>
            </w:pPr>
            <w:r>
              <w:rPr>
                <w:rFonts w:ascii="Arial" w:eastAsia="Arial" w:hAnsi="Arial" w:cs="Arial"/>
                <w:sz w:val="24"/>
                <w:szCs w:val="24"/>
              </w:rPr>
              <w:t>the level of activity that has previously been delivered</w:t>
            </w:r>
          </w:p>
        </w:tc>
      </w:tr>
      <w:tr w:rsidR="00A628B5" w14:paraId="30A1CBA6" w14:textId="77777777">
        <w:tc>
          <w:tcPr>
            <w:tcW w:w="2405" w:type="dxa"/>
          </w:tcPr>
          <w:p w14:paraId="30A1CBA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“HM Government”</w:t>
            </w:r>
          </w:p>
        </w:tc>
        <w:tc>
          <w:tcPr>
            <w:tcW w:w="7342" w:type="dxa"/>
          </w:tcPr>
          <w:p w14:paraId="30A1CBA5" w14:textId="77777777" w:rsidR="00A628B5" w:rsidRDefault="00726FC7">
            <w:pPr>
              <w:spacing w:line="276" w:lineRule="auto"/>
              <w:rPr>
                <w:rFonts w:ascii="Arial" w:eastAsia="Arial" w:hAnsi="Arial" w:cs="Arial"/>
                <w:color w:val="000000"/>
                <w:sz w:val="24"/>
                <w:szCs w:val="24"/>
              </w:rPr>
            </w:pPr>
            <w:r>
              <w:rPr>
                <w:rFonts w:ascii="Arial" w:eastAsia="Arial" w:hAnsi="Arial" w:cs="Arial"/>
                <w:sz w:val="24"/>
                <w:szCs w:val="24"/>
              </w:rPr>
              <w:t>Her Majesty's Government;</w:t>
            </w:r>
          </w:p>
        </w:tc>
      </w:tr>
      <w:tr w:rsidR="00A628B5" w14:paraId="30A1CBA9" w14:textId="77777777">
        <w:tc>
          <w:tcPr>
            <w:tcW w:w="2405" w:type="dxa"/>
          </w:tcPr>
          <w:p w14:paraId="30A1CBA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Pr>
          <w:p w14:paraId="30A1CBA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628B5" w14:paraId="30A1CBAC" w14:textId="77777777">
        <w:tc>
          <w:tcPr>
            <w:tcW w:w="2405" w:type="dxa"/>
          </w:tcPr>
          <w:p w14:paraId="30A1CBAA" w14:textId="77777777" w:rsidR="00A628B5" w:rsidRDefault="00A628B5">
            <w:pPr>
              <w:pBdr>
                <w:top w:val="nil"/>
                <w:left w:val="nil"/>
                <w:bottom w:val="nil"/>
                <w:right w:val="nil"/>
                <w:between w:val="nil"/>
              </w:pBdr>
              <w:spacing w:after="120"/>
              <w:ind w:left="-108"/>
              <w:rPr>
                <w:rFonts w:ascii="Arial" w:eastAsia="Arial" w:hAnsi="Arial" w:cs="Arial"/>
                <w:b/>
                <w:color w:val="000000"/>
                <w:sz w:val="24"/>
                <w:szCs w:val="24"/>
              </w:rPr>
            </w:pPr>
          </w:p>
        </w:tc>
        <w:tc>
          <w:tcPr>
            <w:tcW w:w="7342" w:type="dxa"/>
          </w:tcPr>
          <w:p w14:paraId="30A1CBAB" w14:textId="77777777" w:rsidR="00A628B5" w:rsidRDefault="00A628B5">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p>
        </w:tc>
      </w:tr>
      <w:tr w:rsidR="00A628B5" w14:paraId="30A1CBAF" w14:textId="77777777">
        <w:tc>
          <w:tcPr>
            <w:tcW w:w="2405" w:type="dxa"/>
          </w:tcPr>
          <w:p w14:paraId="30A1CBA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14:paraId="30A1CBA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A628B5" w14:paraId="30A1CBB7" w14:textId="77777777">
        <w:tc>
          <w:tcPr>
            <w:tcW w:w="2405" w:type="dxa"/>
          </w:tcPr>
          <w:p w14:paraId="30A1CBB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42" w:type="dxa"/>
          </w:tcPr>
          <w:p w14:paraId="30A1CBB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30A1CBB2"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30A1CBB3"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cost of implementing the proposed </w:t>
            </w:r>
            <w:proofErr w:type="gramStart"/>
            <w:r>
              <w:rPr>
                <w:rFonts w:ascii="Arial" w:eastAsia="Arial" w:hAnsi="Arial" w:cs="Arial"/>
                <w:color w:val="000000"/>
                <w:sz w:val="24"/>
                <w:szCs w:val="24"/>
              </w:rPr>
              <w:t>Variation;</w:t>
            </w:r>
            <w:proofErr w:type="gramEnd"/>
          </w:p>
          <w:p w14:paraId="30A1CBB4"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 xml:space="preserve">sed Variation when implemented, including any increase or decrease in the Framework Prices/Charges (as applicable), any alteration in the resources and/or expenditure required by either Party and any alteration to the working practices of either </w:t>
            </w:r>
            <w:proofErr w:type="gramStart"/>
            <w:r>
              <w:rPr>
                <w:rFonts w:ascii="Arial" w:eastAsia="Arial" w:hAnsi="Arial" w:cs="Arial"/>
                <w:color w:val="000000"/>
                <w:sz w:val="24"/>
                <w:szCs w:val="24"/>
              </w:rPr>
              <w:t>Party;</w:t>
            </w:r>
            <w:proofErr w:type="gramEnd"/>
          </w:p>
          <w:p w14:paraId="30A1CBB5"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14:paraId="30A1CBB6"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628B5" w14:paraId="30A1CBBA" w14:textId="77777777">
        <w:tc>
          <w:tcPr>
            <w:tcW w:w="2405" w:type="dxa"/>
          </w:tcPr>
          <w:p w14:paraId="30A1CBB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Pr>
          <w:p w14:paraId="30A1CBB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628B5" w14:paraId="30A1CBBD" w14:textId="77777777">
        <w:tc>
          <w:tcPr>
            <w:tcW w:w="2405" w:type="dxa"/>
          </w:tcPr>
          <w:p w14:paraId="30A1CBB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“Incumbent Supplier”</w:t>
            </w:r>
          </w:p>
        </w:tc>
        <w:tc>
          <w:tcPr>
            <w:tcW w:w="7342" w:type="dxa"/>
          </w:tcPr>
          <w:p w14:paraId="30A1CBBC"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A628B5" w14:paraId="30A1CBC0" w14:textId="77777777">
        <w:tc>
          <w:tcPr>
            <w:tcW w:w="2405" w:type="dxa"/>
          </w:tcPr>
          <w:p w14:paraId="30A1CBB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14:paraId="30A1CBB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628B5" w14:paraId="30A1CBC3" w14:textId="77777777">
        <w:tc>
          <w:tcPr>
            <w:tcW w:w="2405" w:type="dxa"/>
          </w:tcPr>
          <w:p w14:paraId="30A1CBC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14:paraId="30A1CBC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w:t>
            </w:r>
            <w:r>
              <w:rPr>
                <w:rFonts w:ascii="Arial" w:eastAsia="Arial" w:hAnsi="Arial" w:cs="Arial"/>
                <w:color w:val="000000"/>
                <w:sz w:val="24"/>
                <w:szCs w:val="24"/>
              </w:rPr>
              <w:t>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A628B5" w14:paraId="30A1CBC6" w14:textId="77777777">
        <w:tc>
          <w:tcPr>
            <w:tcW w:w="2405" w:type="dxa"/>
          </w:tcPr>
          <w:p w14:paraId="30A1CBC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342" w:type="dxa"/>
          </w:tcPr>
          <w:p w14:paraId="30A1CBC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628B5" w14:paraId="30A1CBC9" w14:textId="77777777">
        <w:tc>
          <w:tcPr>
            <w:tcW w:w="2405" w:type="dxa"/>
          </w:tcPr>
          <w:p w14:paraId="30A1CBC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Pr>
          <w:p w14:paraId="30A1CBC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628B5" w14:paraId="30A1CBCC" w14:textId="77777777">
        <w:tc>
          <w:tcPr>
            <w:tcW w:w="2405" w:type="dxa"/>
          </w:tcPr>
          <w:p w14:paraId="30A1CBC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42" w:type="dxa"/>
          </w:tcPr>
          <w:p w14:paraId="30A1CBC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UK’s independent authority which deals with ensuring information relating to rights in the public interest and data privacy for individuals is me</w:t>
            </w:r>
            <w:r>
              <w:rPr>
                <w:rFonts w:ascii="Arial" w:eastAsia="Arial" w:hAnsi="Arial" w:cs="Arial"/>
                <w:color w:val="000000"/>
                <w:sz w:val="24"/>
                <w:szCs w:val="24"/>
              </w:rPr>
              <w:t xml:space="preserve">t, whilst promoting openness by public bodies; </w:t>
            </w:r>
          </w:p>
        </w:tc>
      </w:tr>
      <w:tr w:rsidR="00A628B5" w14:paraId="30A1CBCF" w14:textId="77777777">
        <w:tc>
          <w:tcPr>
            <w:tcW w:w="2405" w:type="dxa"/>
          </w:tcPr>
          <w:p w14:paraId="30A1CBC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14:paraId="30A1CBC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628B5" w14:paraId="30A1CBDF" w14:textId="77777777">
        <w:tc>
          <w:tcPr>
            <w:tcW w:w="2405" w:type="dxa"/>
          </w:tcPr>
          <w:p w14:paraId="30A1CBD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14:paraId="30A1CBD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30A1CBD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w:t>
            </w:r>
            <w:r>
              <w:rPr>
                <w:rFonts w:ascii="Arial" w:eastAsia="Arial" w:hAnsi="Arial" w:cs="Arial"/>
                <w:color w:val="000000"/>
                <w:sz w:val="24"/>
                <w:szCs w:val="24"/>
              </w:rPr>
              <w:t xml:space="preserve"> pay its debts as they fall due or admits inability to pay its debts, or:</w:t>
            </w:r>
          </w:p>
          <w:p w14:paraId="30A1CBD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14:paraId="30A1CBD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 (being a partnership) is deemed unable to pay its debts within the meaning of section 222 of the Insolvency Act </w:t>
            </w:r>
            <w:proofErr w:type="gramStart"/>
            <w:r>
              <w:rPr>
                <w:rFonts w:ascii="Arial" w:eastAsia="Arial" w:hAnsi="Arial" w:cs="Arial"/>
                <w:color w:val="000000"/>
                <w:sz w:val="24"/>
                <w:szCs w:val="24"/>
              </w:rPr>
              <w:t>1986;</w:t>
            </w:r>
            <w:proofErr w:type="gramEnd"/>
          </w:p>
          <w:p w14:paraId="30A1CBD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w:t>
            </w:r>
            <w:r>
              <w:rPr>
                <w:rFonts w:ascii="Arial" w:eastAsia="Arial" w:hAnsi="Arial" w:cs="Arial"/>
                <w:color w:val="000000"/>
                <w:sz w:val="24"/>
                <w:szCs w:val="24"/>
              </w:rPr>
              <w:t>erwise) with a view to rescheduling any of its debts, or makes a proposal for or enters into any compromise or arrangement with one or more of its creditors or takes any step to obtain a moratorium pursuant to Section 1A and Schedule A1 of the Insolvency A</w:t>
            </w:r>
            <w:r>
              <w:rPr>
                <w:rFonts w:ascii="Arial" w:eastAsia="Arial" w:hAnsi="Arial" w:cs="Arial"/>
                <w:color w:val="000000"/>
                <w:sz w:val="24"/>
                <w:szCs w:val="24"/>
              </w:rPr>
              <w:t>ct 1986 other than (in the case of a company, a LLP or a partnership) for the sole purpose of a scheme for a solvent amalgamation of that person with one or more other companies or the solvent reconstruction of that person;</w:t>
            </w:r>
          </w:p>
          <w:p w14:paraId="30A1CBD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w:t>
            </w:r>
            <w:r>
              <w:rPr>
                <w:rFonts w:ascii="Arial" w:eastAsia="Arial" w:hAnsi="Arial" w:cs="Arial"/>
                <w:color w:val="000000"/>
                <w:sz w:val="24"/>
                <w:szCs w:val="24"/>
              </w:rPr>
              <w:t xml:space="preserve">led to appoint a receiver over the assets of that person or a receiver is appointed over the assets of that </w:t>
            </w:r>
            <w:proofErr w:type="gramStart"/>
            <w:r>
              <w:rPr>
                <w:rFonts w:ascii="Arial" w:eastAsia="Arial" w:hAnsi="Arial" w:cs="Arial"/>
                <w:color w:val="000000"/>
                <w:sz w:val="24"/>
                <w:szCs w:val="24"/>
              </w:rPr>
              <w:t>person;</w:t>
            </w:r>
            <w:proofErr w:type="gramEnd"/>
          </w:p>
          <w:p w14:paraId="30A1CBD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w:t>
            </w:r>
            <w:r>
              <w:rPr>
                <w:rFonts w:ascii="Arial" w:eastAsia="Arial" w:hAnsi="Arial" w:cs="Arial"/>
                <w:color w:val="000000"/>
                <w:sz w:val="24"/>
                <w:szCs w:val="24"/>
              </w:rPr>
              <w:t xml:space="preserve">nforced on or sued against, the whole or any part of that person’s assets and such attachment or process is not discharged within 14 </w:t>
            </w:r>
            <w:proofErr w:type="gramStart"/>
            <w:r>
              <w:rPr>
                <w:rFonts w:ascii="Arial" w:eastAsia="Arial" w:hAnsi="Arial" w:cs="Arial"/>
                <w:color w:val="000000"/>
                <w:sz w:val="24"/>
                <w:szCs w:val="24"/>
              </w:rPr>
              <w:t>days;</w:t>
            </w:r>
            <w:proofErr w:type="gramEnd"/>
          </w:p>
          <w:p w14:paraId="30A1CBD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(e) that person suspends or ceases, or threatens to suspend or cease, carrying on all or a substantial part of its </w:t>
            </w:r>
            <w:proofErr w:type="gramStart"/>
            <w:r>
              <w:rPr>
                <w:rFonts w:ascii="Arial" w:eastAsia="Arial" w:hAnsi="Arial" w:cs="Arial"/>
                <w:color w:val="000000"/>
                <w:sz w:val="24"/>
                <w:szCs w:val="24"/>
              </w:rPr>
              <w:t>bu</w:t>
            </w:r>
            <w:r>
              <w:rPr>
                <w:rFonts w:ascii="Arial" w:eastAsia="Arial" w:hAnsi="Arial" w:cs="Arial"/>
                <w:color w:val="000000"/>
                <w:sz w:val="24"/>
                <w:szCs w:val="24"/>
              </w:rPr>
              <w:t>siness;</w:t>
            </w:r>
            <w:proofErr w:type="gramEnd"/>
          </w:p>
          <w:p w14:paraId="30A1CBD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14:paraId="30A1CBD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w:t>
            </w:r>
            <w:r>
              <w:rPr>
                <w:rFonts w:ascii="Arial" w:eastAsia="Arial" w:hAnsi="Arial" w:cs="Arial"/>
                <w:color w:val="000000"/>
                <w:sz w:val="24"/>
                <w:szCs w:val="24"/>
              </w:rPr>
              <w:t xml:space="preserve"> of that person other than for the sole purpose of a scheme for a solvent amalgamation of that person with one or more other companies or the solvent reconstruction of that </w:t>
            </w:r>
            <w:proofErr w:type="gramStart"/>
            <w:r>
              <w:rPr>
                <w:rFonts w:ascii="Arial" w:eastAsia="Arial" w:hAnsi="Arial" w:cs="Arial"/>
                <w:color w:val="000000"/>
                <w:sz w:val="24"/>
                <w:szCs w:val="24"/>
              </w:rPr>
              <w:t>person;</w:t>
            </w:r>
            <w:proofErr w:type="gramEnd"/>
          </w:p>
          <w:p w14:paraId="30A1CBD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w:t>
            </w:r>
            <w:r>
              <w:rPr>
                <w:rFonts w:ascii="Arial" w:eastAsia="Arial" w:hAnsi="Arial" w:cs="Arial"/>
                <w:color w:val="000000"/>
                <w:sz w:val="24"/>
                <w:szCs w:val="24"/>
              </w:rPr>
              <w:t xml:space="preserve">ent of an administrator, or if a notice of intention to appoint an administrator is filed at Court or given or if an administrator is appointed, over that </w:t>
            </w:r>
            <w:proofErr w:type="gramStart"/>
            <w:r>
              <w:rPr>
                <w:rFonts w:ascii="Arial" w:eastAsia="Arial" w:hAnsi="Arial" w:cs="Arial"/>
                <w:color w:val="000000"/>
                <w:sz w:val="24"/>
                <w:szCs w:val="24"/>
              </w:rPr>
              <w:t>person;</w:t>
            </w:r>
            <w:proofErr w:type="gramEnd"/>
          </w:p>
          <w:p w14:paraId="30A1CBD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w:t>
            </w:r>
            <w:r>
              <w:rPr>
                <w:rFonts w:ascii="Arial" w:eastAsia="Arial" w:hAnsi="Arial" w:cs="Arial"/>
                <w:color w:val="000000"/>
                <w:sz w:val="24"/>
                <w:szCs w:val="24"/>
              </w:rPr>
              <w:t>f that person has become entitled to appoint or has appointed an administrative receiver; or</w:t>
            </w:r>
          </w:p>
          <w:p w14:paraId="30A1CBD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w:t>
            </w:r>
            <w:r>
              <w:rPr>
                <w:rFonts w:ascii="Arial" w:eastAsia="Arial" w:hAnsi="Arial" w:cs="Arial"/>
                <w:color w:val="000000"/>
                <w:sz w:val="24"/>
                <w:szCs w:val="24"/>
              </w:rPr>
              <w:t>ural receiver; or</w:t>
            </w:r>
          </w:p>
          <w:p w14:paraId="30A1CBD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628B5" w14:paraId="30A1CBE2" w14:textId="77777777">
        <w:tc>
          <w:tcPr>
            <w:tcW w:w="2405" w:type="dxa"/>
          </w:tcPr>
          <w:p w14:paraId="30A1CBE0"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342" w:type="dxa"/>
          </w:tcPr>
          <w:p w14:paraId="30A1CBE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628B5" w14:paraId="30A1CBE7" w14:textId="77777777">
        <w:tc>
          <w:tcPr>
            <w:tcW w:w="2405" w:type="dxa"/>
          </w:tcPr>
          <w:p w14:paraId="30A1CBE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14:paraId="30A1CBE4"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w:t>
            </w:r>
            <w:proofErr w:type="gramStart"/>
            <w:r>
              <w:rPr>
                <w:rFonts w:ascii="Arial" w:eastAsia="Arial" w:hAnsi="Arial" w:cs="Arial"/>
                <w:color w:val="000000"/>
                <w:sz w:val="24"/>
                <w:szCs w:val="24"/>
              </w:rPr>
              <w:t>trade marks</w:t>
            </w:r>
            <w:proofErr w:type="gramEnd"/>
            <w:r>
              <w:rPr>
                <w:rFonts w:ascii="Arial" w:eastAsia="Arial" w:hAnsi="Arial" w:cs="Arial"/>
                <w:color w:val="000000"/>
                <w:sz w:val="24"/>
                <w:szCs w:val="24"/>
              </w:rPr>
              <w:t>,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14:paraId="30A1CBE5"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14:paraId="30A1CBE6"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628B5" w14:paraId="30A1CBEA" w14:textId="77777777">
        <w:tc>
          <w:tcPr>
            <w:tcW w:w="2405" w:type="dxa"/>
          </w:tcPr>
          <w:p w14:paraId="30A1CBE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14:paraId="30A1CBE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628B5" w14:paraId="30A1CBED" w14:textId="77777777">
        <w:tc>
          <w:tcPr>
            <w:tcW w:w="2405" w:type="dxa"/>
          </w:tcPr>
          <w:p w14:paraId="30A1CBE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14:paraId="30A1CBE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w:t>
            </w:r>
            <w:r>
              <w:rPr>
                <w:rFonts w:ascii="Arial" w:eastAsia="Arial" w:hAnsi="Arial" w:cs="Arial"/>
                <w:color w:val="000000"/>
                <w:sz w:val="24"/>
                <w:szCs w:val="24"/>
              </w:rPr>
              <w:t>liverables or otherwise provided and/or licensed by the Supplier (or to which the Supplier has provided access) to the Relevant Authority in the fulfilment of its obligations under a Contract;</w:t>
            </w:r>
          </w:p>
        </w:tc>
      </w:tr>
      <w:tr w:rsidR="00A628B5" w14:paraId="30A1CBF0" w14:textId="77777777">
        <w:tc>
          <w:tcPr>
            <w:tcW w:w="2405" w:type="dxa"/>
          </w:tcPr>
          <w:p w14:paraId="30A1CBE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Pr>
          <w:p w14:paraId="30A1CBE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off-payroll rules requiring individuals who work th</w:t>
            </w:r>
            <w:r>
              <w:rPr>
                <w:rFonts w:ascii="Arial" w:eastAsia="Arial" w:hAnsi="Arial" w:cs="Arial"/>
                <w:color w:val="000000"/>
                <w:sz w:val="24"/>
                <w:szCs w:val="24"/>
              </w:rPr>
              <w:t xml:space="preserve">rough their company pay the same income tax and National Insurance contributions as an employee which can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628B5" w14:paraId="30A1CBF3" w14:textId="77777777">
        <w:tc>
          <w:tcPr>
            <w:tcW w:w="2405" w:type="dxa"/>
          </w:tcPr>
          <w:p w14:paraId="30A1CBF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“ISO”</w:t>
            </w:r>
          </w:p>
        </w:tc>
        <w:tc>
          <w:tcPr>
            <w:tcW w:w="7342" w:type="dxa"/>
          </w:tcPr>
          <w:p w14:paraId="30A1CBF2" w14:textId="77777777" w:rsidR="00A628B5" w:rsidRDefault="00726FC7">
            <w:pPr>
              <w:spacing w:line="276" w:lineRule="auto"/>
              <w:rPr>
                <w:rFonts w:ascii="Arial" w:eastAsia="Arial" w:hAnsi="Arial" w:cs="Arial"/>
                <w:sz w:val="24"/>
                <w:szCs w:val="24"/>
              </w:rPr>
            </w:pPr>
            <w:r>
              <w:rPr>
                <w:rFonts w:ascii="Arial" w:eastAsia="Arial" w:hAnsi="Arial" w:cs="Arial"/>
                <w:sz w:val="24"/>
                <w:szCs w:val="24"/>
              </w:rPr>
              <w:t>International Organization for Standardization;</w:t>
            </w:r>
          </w:p>
        </w:tc>
      </w:tr>
      <w:tr w:rsidR="00A628B5" w14:paraId="30A1CBF6" w14:textId="77777777">
        <w:tc>
          <w:tcPr>
            <w:tcW w:w="2405" w:type="dxa"/>
          </w:tcPr>
          <w:p w14:paraId="30A1CBF4" w14:textId="77777777" w:rsidR="00A628B5" w:rsidRDefault="00726FC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“ITIL Framework”</w:t>
            </w:r>
          </w:p>
        </w:tc>
        <w:tc>
          <w:tcPr>
            <w:tcW w:w="7342" w:type="dxa"/>
          </w:tcPr>
          <w:p w14:paraId="30A1CBF5" w14:textId="77777777" w:rsidR="00A628B5" w:rsidRDefault="00726FC7">
            <w:pPr>
              <w:spacing w:line="276" w:lineRule="auto"/>
              <w:rPr>
                <w:rFonts w:ascii="Arial" w:eastAsia="Arial" w:hAnsi="Arial" w:cs="Arial"/>
                <w:sz w:val="24"/>
                <w:szCs w:val="24"/>
              </w:rPr>
            </w:pPr>
            <w:r>
              <w:rPr>
                <w:rFonts w:ascii="Arial" w:eastAsia="Arial" w:hAnsi="Arial" w:cs="Arial"/>
                <w:sz w:val="24"/>
                <w:szCs w:val="24"/>
              </w:rPr>
              <w:t>ITIL is a set of detailed practices for IT service management that focuses on aligning IT services with the needs of business;</w:t>
            </w:r>
          </w:p>
        </w:tc>
      </w:tr>
      <w:tr w:rsidR="00A628B5" w14:paraId="30A1CBF9" w14:textId="77777777">
        <w:tc>
          <w:tcPr>
            <w:tcW w:w="2405" w:type="dxa"/>
          </w:tcPr>
          <w:p w14:paraId="30A1CBF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42" w:type="dxa"/>
          </w:tcPr>
          <w:p w14:paraId="30A1CBF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628B5" w14:paraId="30A1CBFC" w14:textId="77777777">
        <w:tc>
          <w:tcPr>
            <w:tcW w:w="2405" w:type="dxa"/>
          </w:tcPr>
          <w:p w14:paraId="30A1CBF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Pr>
          <w:p w14:paraId="30A1CBF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628B5" w14:paraId="30A1CBFF" w14:textId="77777777">
        <w:tc>
          <w:tcPr>
            <w:tcW w:w="2405" w:type="dxa"/>
          </w:tcPr>
          <w:p w14:paraId="30A1CBF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“Key Personnel”</w:t>
            </w:r>
          </w:p>
        </w:tc>
        <w:tc>
          <w:tcPr>
            <w:tcW w:w="7342" w:type="dxa"/>
          </w:tcPr>
          <w:p w14:paraId="30A1CBFE"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sz w:val="24"/>
                <w:szCs w:val="24"/>
              </w:rPr>
            </w:pPr>
            <w:r>
              <w:rPr>
                <w:rFonts w:ascii="Arial" w:eastAsia="Arial" w:hAnsi="Arial" w:cs="Arial"/>
                <w:sz w:val="24"/>
                <w:szCs w:val="24"/>
              </w:rPr>
              <w:t>individuals (if any) identified as such in the Order Form;</w:t>
            </w:r>
          </w:p>
        </w:tc>
      </w:tr>
      <w:tr w:rsidR="00A628B5" w14:paraId="30A1CC02" w14:textId="77777777">
        <w:tc>
          <w:tcPr>
            <w:tcW w:w="2405" w:type="dxa"/>
          </w:tcPr>
          <w:p w14:paraId="30A1CC0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14:paraId="30A1CC0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628B5" w14:paraId="30A1CC05" w14:textId="77777777">
        <w:trPr>
          <w:trHeight w:val="357"/>
        </w:trPr>
        <w:tc>
          <w:tcPr>
            <w:tcW w:w="2405" w:type="dxa"/>
          </w:tcPr>
          <w:p w14:paraId="30A1CC0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42" w:type="dxa"/>
          </w:tcPr>
          <w:p w14:paraId="30A1CC0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628B5" w14:paraId="30A1CC0C" w14:textId="77777777">
        <w:trPr>
          <w:trHeight w:val="426"/>
        </w:trPr>
        <w:tc>
          <w:tcPr>
            <w:tcW w:w="2405" w:type="dxa"/>
          </w:tcPr>
          <w:p w14:paraId="30A1CC0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14:paraId="30A1CC0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30A1CC08"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30A1CC09"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w:t>
            </w:r>
            <w:r>
              <w:rPr>
                <w:rFonts w:ascii="Arial" w:eastAsia="Arial" w:hAnsi="Arial" w:cs="Arial"/>
                <w:color w:val="000000"/>
                <w:sz w:val="24"/>
                <w:szCs w:val="24"/>
              </w:rPr>
              <w:t>nd/or</w:t>
            </w:r>
          </w:p>
          <w:p w14:paraId="30A1CC0A"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30A1CC0B" w14:textId="77777777" w:rsidR="00A628B5" w:rsidRDefault="00726FC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w:t>
            </w:r>
            <w:r>
              <w:rPr>
                <w:rFonts w:ascii="Arial" w:eastAsia="Arial" w:hAnsi="Arial" w:cs="Arial"/>
                <w:color w:val="000000"/>
                <w:sz w:val="24"/>
                <w:szCs w:val="24"/>
              </w:rPr>
              <w:t xml:space="preserve"> in section 19 of the Framework Award Form and in the Key Subcontractor Section in Order Form;</w:t>
            </w:r>
          </w:p>
        </w:tc>
      </w:tr>
      <w:tr w:rsidR="00A628B5" w14:paraId="30A1CC0F" w14:textId="77777777">
        <w:tc>
          <w:tcPr>
            <w:tcW w:w="2405" w:type="dxa"/>
          </w:tcPr>
          <w:p w14:paraId="30A1CC0D"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342" w:type="dxa"/>
          </w:tcPr>
          <w:p w14:paraId="30A1CC0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628B5" w14:paraId="30A1CC12" w14:textId="77777777">
        <w:tc>
          <w:tcPr>
            <w:tcW w:w="2405" w:type="dxa"/>
          </w:tcPr>
          <w:p w14:paraId="30A1CC1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14:paraId="30A1CC1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A628B5" w14:paraId="30A1CC15" w14:textId="77777777">
        <w:tc>
          <w:tcPr>
            <w:tcW w:w="2405" w:type="dxa"/>
          </w:tcPr>
          <w:p w14:paraId="30A1CC1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“LBAC”</w:t>
            </w:r>
          </w:p>
        </w:tc>
        <w:tc>
          <w:tcPr>
            <w:tcW w:w="7342" w:type="dxa"/>
          </w:tcPr>
          <w:p w14:paraId="30A1CC14"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sz w:val="24"/>
                <w:szCs w:val="24"/>
              </w:rPr>
            </w:pPr>
            <w:r>
              <w:rPr>
                <w:rFonts w:ascii="Arial" w:eastAsia="Arial" w:hAnsi="Arial" w:cs="Arial"/>
                <w:sz w:val="24"/>
                <w:szCs w:val="24"/>
              </w:rPr>
              <w:t>Label-based access control (LBAC) greatly increases the control you have over who can access your data. LBAC lets you decide exactly who has write access and who has read access to individual rows and individual columns;</w:t>
            </w:r>
          </w:p>
        </w:tc>
      </w:tr>
      <w:tr w:rsidR="00A628B5" w14:paraId="30A1CC18" w14:textId="77777777">
        <w:tc>
          <w:tcPr>
            <w:tcW w:w="2405" w:type="dxa"/>
          </w:tcPr>
          <w:p w14:paraId="30A1CC1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14:paraId="30A1CC1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w:t>
            </w:r>
            <w:r>
              <w:rPr>
                <w:rFonts w:ascii="Arial" w:eastAsia="Arial" w:hAnsi="Arial" w:cs="Arial"/>
                <w:color w:val="000000"/>
                <w:sz w:val="24"/>
                <w:szCs w:val="24"/>
              </w:rPr>
              <w:t>srepresentation or otherwise and "</w:t>
            </w:r>
            <w:r>
              <w:rPr>
                <w:rFonts w:ascii="Arial" w:eastAsia="Arial" w:hAnsi="Arial" w:cs="Arial"/>
                <w:b/>
                <w:color w:val="000000"/>
                <w:sz w:val="24"/>
                <w:szCs w:val="24"/>
              </w:rPr>
              <w:t>Loss</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interpreted accordingly;</w:t>
            </w:r>
            <w:proofErr w:type="gramEnd"/>
          </w:p>
        </w:tc>
      </w:tr>
      <w:tr w:rsidR="00A628B5" w14:paraId="30A1CC1B" w14:textId="77777777">
        <w:tc>
          <w:tcPr>
            <w:tcW w:w="2405" w:type="dxa"/>
          </w:tcPr>
          <w:p w14:paraId="30A1CC1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42" w:type="dxa"/>
          </w:tcPr>
          <w:p w14:paraId="30A1CC1A" w14:textId="77777777" w:rsidR="00A628B5" w:rsidRDefault="00726FC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628B5" w14:paraId="30A1CC1E" w14:textId="77777777">
        <w:tc>
          <w:tcPr>
            <w:tcW w:w="2405" w:type="dxa"/>
          </w:tcPr>
          <w:p w14:paraId="30A1CC1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42" w:type="dxa"/>
          </w:tcPr>
          <w:p w14:paraId="30A1CC1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628B5" w14:paraId="30A1CC21" w14:textId="77777777">
        <w:tc>
          <w:tcPr>
            <w:tcW w:w="2405" w:type="dxa"/>
          </w:tcPr>
          <w:p w14:paraId="30A1CC1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Pr>
          <w:p w14:paraId="30A1CC2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A628B5" w14:paraId="30A1CC24" w14:textId="77777777">
        <w:tc>
          <w:tcPr>
            <w:tcW w:w="2405" w:type="dxa"/>
          </w:tcPr>
          <w:p w14:paraId="30A1CC2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Pr>
          <w:p w14:paraId="30A1CC23" w14:textId="77777777" w:rsidR="00A628B5" w:rsidRDefault="00726FC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628B5" w14:paraId="30A1CC2A" w14:textId="77777777">
        <w:tc>
          <w:tcPr>
            <w:tcW w:w="2405" w:type="dxa"/>
          </w:tcPr>
          <w:p w14:paraId="30A1CC2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14:paraId="30A1CC26" w14:textId="77777777" w:rsidR="00A628B5" w:rsidRDefault="00726FC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30A1CC27" w14:textId="77777777" w:rsidR="00A628B5" w:rsidRDefault="00726FC7">
            <w:pPr>
              <w:numPr>
                <w:ilvl w:val="1"/>
                <w:numId w:val="2"/>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30A1CC28" w14:textId="77777777" w:rsidR="00A628B5" w:rsidRDefault="00726FC7">
            <w:pPr>
              <w:numPr>
                <w:ilvl w:val="1"/>
                <w:numId w:val="2"/>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30A1CC29" w14:textId="77777777" w:rsidR="00A628B5" w:rsidRDefault="00726FC7">
            <w:pPr>
              <w:numPr>
                <w:ilvl w:val="1"/>
                <w:numId w:val="2"/>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628B5" w14:paraId="30A1CC2D" w14:textId="77777777">
        <w:tc>
          <w:tcPr>
            <w:tcW w:w="2405" w:type="dxa"/>
          </w:tcPr>
          <w:p w14:paraId="30A1CC2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342" w:type="dxa"/>
          </w:tcPr>
          <w:p w14:paraId="30A1CC2C" w14:textId="77777777" w:rsidR="00A628B5" w:rsidRDefault="00726FC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628B5" w14:paraId="30A1CC30" w14:textId="77777777">
        <w:tc>
          <w:tcPr>
            <w:tcW w:w="2405" w:type="dxa"/>
          </w:tcPr>
          <w:p w14:paraId="30A1CC2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14:paraId="30A1CC2F" w14:textId="77777777" w:rsidR="00A628B5" w:rsidRDefault="00726FC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w:t>
            </w:r>
            <w:r>
              <w:rPr>
                <w:rFonts w:ascii="Arial" w:eastAsia="Arial" w:hAnsi="Arial" w:cs="Arial"/>
                <w:color w:val="000000"/>
                <w:sz w:val="24"/>
                <w:szCs w:val="24"/>
              </w:rPr>
              <w:t>le 5 (Management Charges and Information) setting out the information the Supplier is required to supply to the Authority;</w:t>
            </w:r>
          </w:p>
        </w:tc>
      </w:tr>
      <w:tr w:rsidR="00A628B5" w14:paraId="30A1CC33" w14:textId="77777777">
        <w:tc>
          <w:tcPr>
            <w:tcW w:w="2405" w:type="dxa"/>
          </w:tcPr>
          <w:p w14:paraId="30A1CC3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14:paraId="30A1CC3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628B5" w14:paraId="30A1CC36" w14:textId="77777777">
        <w:tc>
          <w:tcPr>
            <w:tcW w:w="2405" w:type="dxa"/>
          </w:tcPr>
          <w:p w14:paraId="30A1CC3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14:paraId="30A1CC3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628B5" w14:paraId="30A1CC39" w14:textId="77777777">
        <w:tc>
          <w:tcPr>
            <w:tcW w:w="2405" w:type="dxa"/>
          </w:tcPr>
          <w:p w14:paraId="30A1CC3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14:paraId="30A1CC3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interpreted accordingly;</w:t>
            </w:r>
            <w:proofErr w:type="gramEnd"/>
          </w:p>
        </w:tc>
      </w:tr>
      <w:tr w:rsidR="00A628B5" w14:paraId="30A1CC3C" w14:textId="77777777">
        <w:tc>
          <w:tcPr>
            <w:tcW w:w="2405" w:type="dxa"/>
          </w:tcPr>
          <w:p w14:paraId="30A1CC3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14:paraId="30A1CC3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A628B5" w14:paraId="30A1CC3F" w14:textId="77777777">
        <w:tc>
          <w:tcPr>
            <w:tcW w:w="2405" w:type="dxa"/>
          </w:tcPr>
          <w:p w14:paraId="30A1CC3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“NCSC”</w:t>
            </w:r>
          </w:p>
        </w:tc>
        <w:tc>
          <w:tcPr>
            <w:tcW w:w="7342" w:type="dxa"/>
          </w:tcPr>
          <w:p w14:paraId="30A1CC3E" w14:textId="77777777" w:rsidR="00A628B5" w:rsidRDefault="00726FC7">
            <w:pPr>
              <w:spacing w:line="276" w:lineRule="auto"/>
              <w:rPr>
                <w:rFonts w:ascii="Arial" w:eastAsia="Arial" w:hAnsi="Arial" w:cs="Arial"/>
                <w:sz w:val="24"/>
                <w:szCs w:val="24"/>
              </w:rPr>
            </w:pPr>
            <w:r>
              <w:rPr>
                <w:rFonts w:ascii="Arial" w:eastAsia="Arial" w:hAnsi="Arial" w:cs="Arial"/>
                <w:sz w:val="24"/>
                <w:szCs w:val="24"/>
              </w:rPr>
              <w:t>National Cyber Security Centre</w:t>
            </w:r>
          </w:p>
        </w:tc>
      </w:tr>
      <w:tr w:rsidR="00A628B5" w14:paraId="30A1CC44" w14:textId="77777777">
        <w:tc>
          <w:tcPr>
            <w:tcW w:w="2405" w:type="dxa"/>
          </w:tcPr>
          <w:p w14:paraId="30A1CC4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14:paraId="30A1CC41"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30A1CC42"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w:t>
            </w:r>
            <w:proofErr w:type="gramStart"/>
            <w:r>
              <w:rPr>
                <w:rFonts w:ascii="Arial" w:eastAsia="Arial" w:hAnsi="Arial" w:cs="Arial"/>
                <w:color w:val="000000"/>
                <w:sz w:val="24"/>
                <w:szCs w:val="24"/>
              </w:rPr>
              <w:t>same;</w:t>
            </w:r>
            <w:proofErr w:type="gramEnd"/>
            <w:r>
              <w:rPr>
                <w:rFonts w:ascii="Arial" w:eastAsia="Arial" w:hAnsi="Arial" w:cs="Arial"/>
                <w:color w:val="000000"/>
                <w:sz w:val="24"/>
                <w:szCs w:val="24"/>
              </w:rPr>
              <w:t xml:space="preserve"> </w:t>
            </w:r>
          </w:p>
          <w:p w14:paraId="30A1CC4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628B5" w14:paraId="30A1CC47" w14:textId="77777777">
        <w:tc>
          <w:tcPr>
            <w:tcW w:w="2405" w:type="dxa"/>
          </w:tcPr>
          <w:p w14:paraId="30A1CC45" w14:textId="77777777" w:rsidR="00A628B5" w:rsidRDefault="00726FC7">
            <w:pPr>
              <w:spacing w:after="120"/>
              <w:ind w:left="-108"/>
              <w:rPr>
                <w:rFonts w:ascii="Arial" w:eastAsia="Arial" w:hAnsi="Arial" w:cs="Arial"/>
                <w:b/>
                <w:color w:val="000000"/>
                <w:sz w:val="24"/>
                <w:szCs w:val="24"/>
              </w:rPr>
            </w:pPr>
            <w:r>
              <w:rPr>
                <w:rFonts w:ascii="Arial" w:eastAsia="Arial" w:hAnsi="Arial" w:cs="Arial"/>
                <w:b/>
                <w:sz w:val="24"/>
                <w:szCs w:val="24"/>
              </w:rPr>
              <w:t>"New Service"</w:t>
            </w:r>
          </w:p>
        </w:tc>
        <w:tc>
          <w:tcPr>
            <w:tcW w:w="7342" w:type="dxa"/>
          </w:tcPr>
          <w:p w14:paraId="30A1CC46" w14:textId="77777777" w:rsidR="00A628B5" w:rsidRDefault="00726FC7">
            <w:pPr>
              <w:spacing w:line="276" w:lineRule="auto"/>
              <w:rPr>
                <w:rFonts w:ascii="Arial" w:eastAsia="Arial" w:hAnsi="Arial" w:cs="Arial"/>
                <w:color w:val="000000"/>
                <w:sz w:val="24"/>
                <w:szCs w:val="24"/>
              </w:rPr>
            </w:pPr>
            <w:r>
              <w:rPr>
                <w:rFonts w:ascii="Arial" w:eastAsia="Arial" w:hAnsi="Arial" w:cs="Arial"/>
                <w:sz w:val="24"/>
                <w:szCs w:val="24"/>
              </w:rPr>
              <w:t>a service that prior to engagement does not exist in its required form;</w:t>
            </w:r>
          </w:p>
        </w:tc>
      </w:tr>
      <w:tr w:rsidR="00A628B5" w14:paraId="30A1CC4E" w14:textId="77777777">
        <w:tc>
          <w:tcPr>
            <w:tcW w:w="2405" w:type="dxa"/>
          </w:tcPr>
          <w:p w14:paraId="30A1CC4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Pr>
          <w:p w14:paraId="30A1CC4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30A1CC4A"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30A1CC4B" w14:textId="77777777" w:rsidR="00A628B5" w:rsidRDefault="00726FC7">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w:t>
            </w:r>
            <w:r>
              <w:rPr>
                <w:rFonts w:ascii="Arial" w:eastAsia="Arial" w:hAnsi="Arial" w:cs="Arial"/>
                <w:color w:val="000000"/>
                <w:sz w:val="24"/>
                <w:szCs w:val="24"/>
              </w:rPr>
              <w:t xml:space="preserve">le or the Halifax Abuse </w:t>
            </w:r>
            <w:proofErr w:type="gramStart"/>
            <w:r>
              <w:rPr>
                <w:rFonts w:ascii="Arial" w:eastAsia="Arial" w:hAnsi="Arial" w:cs="Arial"/>
                <w:color w:val="000000"/>
                <w:sz w:val="24"/>
                <w:szCs w:val="24"/>
              </w:rPr>
              <w:t>Principle;</w:t>
            </w:r>
            <w:proofErr w:type="gramEnd"/>
          </w:p>
          <w:p w14:paraId="30A1CC4C" w14:textId="77777777" w:rsidR="00A628B5" w:rsidRDefault="00726FC7">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w:t>
            </w:r>
            <w:r>
              <w:rPr>
                <w:rFonts w:ascii="Arial" w:eastAsia="Arial" w:hAnsi="Arial" w:cs="Arial"/>
                <w:color w:val="000000"/>
                <w:sz w:val="24"/>
                <w:szCs w:val="24"/>
              </w:rPr>
              <w:t>or</w:t>
            </w:r>
          </w:p>
          <w:p w14:paraId="30A1CC4D"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related offences which is not spent at the Start Date or to </w:t>
            </w:r>
            <w:r>
              <w:rPr>
                <w:rFonts w:ascii="Arial" w:eastAsia="Arial" w:hAnsi="Arial" w:cs="Arial"/>
                <w:color w:val="000000"/>
                <w:sz w:val="24"/>
                <w:szCs w:val="24"/>
              </w:rPr>
              <w:t>a civil penalty for fraud or evasion;</w:t>
            </w:r>
          </w:p>
        </w:tc>
      </w:tr>
      <w:tr w:rsidR="00A628B5" w14:paraId="30A1CC51" w14:textId="77777777">
        <w:tc>
          <w:tcPr>
            <w:tcW w:w="2405" w:type="dxa"/>
          </w:tcPr>
          <w:p w14:paraId="30A1CC4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“Off-Shore”</w:t>
            </w:r>
          </w:p>
        </w:tc>
        <w:tc>
          <w:tcPr>
            <w:tcW w:w="7342" w:type="dxa"/>
          </w:tcPr>
          <w:p w14:paraId="30A1CC50"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Services delivered from outside the United Kingdom</w:t>
            </w:r>
          </w:p>
        </w:tc>
      </w:tr>
      <w:tr w:rsidR="00A628B5" w14:paraId="30A1CC55" w14:textId="77777777">
        <w:tc>
          <w:tcPr>
            <w:tcW w:w="2405" w:type="dxa"/>
          </w:tcPr>
          <w:p w14:paraId="30A1CC5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“OLA”</w:t>
            </w:r>
          </w:p>
        </w:tc>
        <w:tc>
          <w:tcPr>
            <w:tcW w:w="7342" w:type="dxa"/>
          </w:tcPr>
          <w:p w14:paraId="30A1CC53"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sz w:val="24"/>
                <w:szCs w:val="24"/>
              </w:rPr>
            </w:pPr>
            <w:r>
              <w:rPr>
                <w:rFonts w:ascii="Arial" w:eastAsia="Arial" w:hAnsi="Arial" w:cs="Arial"/>
                <w:sz w:val="24"/>
                <w:szCs w:val="24"/>
              </w:rPr>
              <w:t>an operational-level agreement (OLA) defines the interdependent relationships in support of a service-level agreement (SLA</w:t>
            </w:r>
            <w:proofErr w:type="gramStart"/>
            <w:r>
              <w:rPr>
                <w:rFonts w:ascii="Arial" w:eastAsia="Arial" w:hAnsi="Arial" w:cs="Arial"/>
                <w:sz w:val="24"/>
                <w:szCs w:val="24"/>
              </w:rPr>
              <w:t>);</w:t>
            </w:r>
            <w:proofErr w:type="gramEnd"/>
          </w:p>
          <w:p w14:paraId="30A1CC54" w14:textId="77777777" w:rsidR="00A628B5" w:rsidRDefault="00A628B5">
            <w:pPr>
              <w:pBdr>
                <w:top w:val="nil"/>
                <w:left w:val="nil"/>
                <w:bottom w:val="nil"/>
                <w:right w:val="nil"/>
                <w:between w:val="nil"/>
              </w:pBdr>
              <w:tabs>
                <w:tab w:val="left" w:pos="-179"/>
                <w:tab w:val="left" w:pos="-9"/>
              </w:tabs>
              <w:spacing w:after="120"/>
              <w:jc w:val="both"/>
              <w:rPr>
                <w:rFonts w:ascii="Arial" w:eastAsia="Arial" w:hAnsi="Arial" w:cs="Arial"/>
                <w:sz w:val="24"/>
                <w:szCs w:val="24"/>
              </w:rPr>
            </w:pPr>
          </w:p>
        </w:tc>
      </w:tr>
      <w:tr w:rsidR="00A628B5" w14:paraId="30A1CC58" w14:textId="77777777">
        <w:tc>
          <w:tcPr>
            <w:tcW w:w="2405" w:type="dxa"/>
          </w:tcPr>
          <w:p w14:paraId="30A1CC56" w14:textId="77777777" w:rsidR="00A628B5" w:rsidRDefault="00726FC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“On-Shore”</w:t>
            </w:r>
          </w:p>
        </w:tc>
        <w:tc>
          <w:tcPr>
            <w:tcW w:w="7342" w:type="dxa"/>
          </w:tcPr>
          <w:p w14:paraId="30A1CC57"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sz w:val="24"/>
                <w:szCs w:val="24"/>
              </w:rPr>
            </w:pPr>
            <w:r>
              <w:rPr>
                <w:rFonts w:ascii="Arial" w:eastAsia="Arial" w:hAnsi="Arial" w:cs="Arial"/>
                <w:sz w:val="24"/>
                <w:szCs w:val="24"/>
              </w:rPr>
              <w:t>Services delivered from within the United Kingdom</w:t>
            </w:r>
          </w:p>
        </w:tc>
      </w:tr>
      <w:tr w:rsidR="00A628B5" w14:paraId="30A1CC67" w14:textId="77777777">
        <w:tc>
          <w:tcPr>
            <w:tcW w:w="2405" w:type="dxa"/>
          </w:tcPr>
          <w:p w14:paraId="30A1CC5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42" w:type="dxa"/>
          </w:tcPr>
          <w:p w14:paraId="30A1CC5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14:paraId="30A1CC5B"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Supplier’s Costs broken down against each Good and/or Service and/or Deliverable, including actual capital expenditure (including capital replacement costs) and the unit cost and total actual costs of all </w:t>
            </w:r>
            <w:proofErr w:type="gramStart"/>
            <w:r>
              <w:rPr>
                <w:rFonts w:ascii="Arial" w:eastAsia="Arial" w:hAnsi="Arial" w:cs="Arial"/>
                <w:color w:val="000000"/>
                <w:sz w:val="24"/>
                <w:szCs w:val="24"/>
              </w:rPr>
              <w:t>Deliverables;</w:t>
            </w:r>
            <w:proofErr w:type="gramEnd"/>
          </w:p>
          <w:p w14:paraId="30A1CC5C"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w:t>
            </w:r>
            <w:r>
              <w:rPr>
                <w:rFonts w:ascii="Arial" w:eastAsia="Arial" w:hAnsi="Arial" w:cs="Arial"/>
                <w:color w:val="000000"/>
                <w:sz w:val="24"/>
                <w:szCs w:val="24"/>
              </w:rPr>
              <w:t>xpenditure relating to the provision of the Deliverables including an analysis showing:</w:t>
            </w:r>
          </w:p>
          <w:p w14:paraId="30A1CC5D" w14:textId="77777777" w:rsidR="00A628B5" w:rsidRDefault="00726FC7">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unit costs and quantity of Goods and any other consumables and bought-in </w:t>
            </w:r>
            <w:proofErr w:type="gramStart"/>
            <w:r>
              <w:rPr>
                <w:rFonts w:ascii="Arial" w:eastAsia="Arial" w:hAnsi="Arial" w:cs="Arial"/>
                <w:color w:val="000000"/>
                <w:sz w:val="24"/>
                <w:szCs w:val="24"/>
              </w:rPr>
              <w:t>Deliverables;</w:t>
            </w:r>
            <w:proofErr w:type="gramEnd"/>
          </w:p>
          <w:p w14:paraId="30A1CC5E" w14:textId="77777777" w:rsidR="00A628B5" w:rsidRDefault="00726FC7">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staff costs broken down into the number and grade/role of all Supplier Staff (free of any contingency) together with a list of agreed rates against each </w:t>
            </w:r>
            <w:proofErr w:type="gramStart"/>
            <w:r>
              <w:rPr>
                <w:rFonts w:ascii="Arial" w:eastAsia="Arial" w:hAnsi="Arial" w:cs="Arial"/>
                <w:color w:val="000000"/>
                <w:sz w:val="24"/>
                <w:szCs w:val="24"/>
              </w:rPr>
              <w:t>grade;</w:t>
            </w:r>
            <w:proofErr w:type="gramEnd"/>
          </w:p>
          <w:p w14:paraId="30A1CC5F" w14:textId="77777777" w:rsidR="00A628B5" w:rsidRDefault="00726FC7">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w:t>
            </w:r>
            <w:r>
              <w:rPr>
                <w:rFonts w:ascii="Arial" w:eastAsia="Arial" w:hAnsi="Arial" w:cs="Arial"/>
                <w:color w:val="000000"/>
                <w:sz w:val="24"/>
                <w:szCs w:val="24"/>
              </w:rPr>
              <w:t xml:space="preserve"> Profit Margin; and</w:t>
            </w:r>
          </w:p>
          <w:p w14:paraId="30A1CC60" w14:textId="77777777" w:rsidR="00A628B5" w:rsidRDefault="00726FC7">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w:t>
            </w:r>
            <w:proofErr w:type="gramStart"/>
            <w:r>
              <w:rPr>
                <w:rFonts w:ascii="Arial" w:eastAsia="Arial" w:hAnsi="Arial" w:cs="Arial"/>
                <w:color w:val="000000"/>
                <w:sz w:val="24"/>
                <w:szCs w:val="24"/>
              </w:rPr>
              <w:t>Form;</w:t>
            </w:r>
            <w:proofErr w:type="gramEnd"/>
            <w:r>
              <w:rPr>
                <w:rFonts w:ascii="Arial" w:eastAsia="Arial" w:hAnsi="Arial" w:cs="Arial"/>
                <w:color w:val="000000"/>
                <w:sz w:val="24"/>
                <w:szCs w:val="24"/>
              </w:rPr>
              <w:t xml:space="preserve"> </w:t>
            </w:r>
          </w:p>
          <w:p w14:paraId="30A1CC61" w14:textId="77777777" w:rsidR="00A628B5" w:rsidRDefault="00726FC7">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proofErr w:type="gramStart"/>
            <w:r>
              <w:rPr>
                <w:rFonts w:ascii="Arial" w:eastAsia="Arial" w:hAnsi="Arial" w:cs="Arial"/>
                <w:color w:val="000000"/>
                <w:sz w:val="24"/>
                <w:szCs w:val="24"/>
              </w:rPr>
              <w:t>Overheads;</w:t>
            </w:r>
            <w:proofErr w:type="gramEnd"/>
            <w:r>
              <w:rPr>
                <w:rFonts w:ascii="Arial" w:eastAsia="Arial" w:hAnsi="Arial" w:cs="Arial"/>
                <w:color w:val="000000"/>
                <w:sz w:val="24"/>
                <w:szCs w:val="24"/>
              </w:rPr>
              <w:t xml:space="preserve"> </w:t>
            </w:r>
          </w:p>
          <w:p w14:paraId="30A1CC62"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third party financing costs incurred in relation to the provision of the </w:t>
            </w:r>
            <w:proofErr w:type="gramStart"/>
            <w:r>
              <w:rPr>
                <w:rFonts w:ascii="Arial" w:eastAsia="Arial" w:hAnsi="Arial" w:cs="Arial"/>
                <w:color w:val="000000"/>
                <w:sz w:val="24"/>
                <w:szCs w:val="24"/>
              </w:rPr>
              <w:t>Deliverables;</w:t>
            </w:r>
            <w:proofErr w:type="gramEnd"/>
          </w:p>
          <w:p w14:paraId="30A1CC63"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Supplier Profit achieved over the Framework Contract Period and on an annual </w:t>
            </w:r>
            <w:proofErr w:type="gramStart"/>
            <w:r>
              <w:rPr>
                <w:rFonts w:ascii="Arial" w:eastAsia="Arial" w:hAnsi="Arial" w:cs="Arial"/>
                <w:color w:val="000000"/>
                <w:sz w:val="24"/>
                <w:szCs w:val="24"/>
              </w:rPr>
              <w:t>basis;</w:t>
            </w:r>
            <w:proofErr w:type="gramEnd"/>
          </w:p>
          <w:p w14:paraId="30A1CC64"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w:t>
            </w:r>
            <w:r>
              <w:rPr>
                <w:rFonts w:ascii="Arial" w:eastAsia="Arial" w:hAnsi="Arial" w:cs="Arial"/>
                <w:color w:val="000000"/>
                <w:sz w:val="24"/>
                <w:szCs w:val="24"/>
              </w:rPr>
              <w:t xml:space="preserve">ionment and Overhead allocation are consistent with and not more onerous than such methods applied generally by the </w:t>
            </w:r>
            <w:proofErr w:type="gramStart"/>
            <w:r>
              <w:rPr>
                <w:rFonts w:ascii="Arial" w:eastAsia="Arial" w:hAnsi="Arial" w:cs="Arial"/>
                <w:color w:val="000000"/>
                <w:sz w:val="24"/>
                <w:szCs w:val="24"/>
              </w:rPr>
              <w:t>Supplier;</w:t>
            </w:r>
            <w:proofErr w:type="gramEnd"/>
          </w:p>
          <w:p w14:paraId="30A1CC65"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w:t>
            </w:r>
            <w:r>
              <w:rPr>
                <w:rFonts w:ascii="Arial" w:eastAsia="Arial" w:hAnsi="Arial" w:cs="Arial"/>
                <w:color w:val="000000"/>
                <w:sz w:val="24"/>
                <w:szCs w:val="24"/>
              </w:rPr>
              <w:t>ount of money attributed to each risk and/or contingency; and</w:t>
            </w:r>
          </w:p>
          <w:p w14:paraId="30A1CC66"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A628B5" w14:paraId="30A1CC6A" w14:textId="77777777">
        <w:tc>
          <w:tcPr>
            <w:tcW w:w="2405" w:type="dxa"/>
          </w:tcPr>
          <w:p w14:paraId="30A1CC6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42" w:type="dxa"/>
          </w:tcPr>
          <w:p w14:paraId="30A1CC6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628B5" w14:paraId="30A1CC6D" w14:textId="77777777">
        <w:tc>
          <w:tcPr>
            <w:tcW w:w="2405" w:type="dxa"/>
          </w:tcPr>
          <w:p w14:paraId="30A1CC6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Pr>
          <w:p w14:paraId="30A1CC6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628B5" w14:paraId="30A1CC70" w14:textId="77777777">
        <w:tc>
          <w:tcPr>
            <w:tcW w:w="2405" w:type="dxa"/>
          </w:tcPr>
          <w:p w14:paraId="30A1CC6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342" w:type="dxa"/>
          </w:tcPr>
          <w:p w14:paraId="30A1CC6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628B5" w14:paraId="30A1CC73" w14:textId="77777777">
        <w:tc>
          <w:tcPr>
            <w:tcW w:w="2405" w:type="dxa"/>
          </w:tcPr>
          <w:p w14:paraId="30A1CC7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14:paraId="30A1CC7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628B5" w14:paraId="30A1CC76" w14:textId="77777777">
        <w:tc>
          <w:tcPr>
            <w:tcW w:w="2405" w:type="dxa"/>
          </w:tcPr>
          <w:p w14:paraId="30A1CC74"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342" w:type="dxa"/>
          </w:tcPr>
          <w:p w14:paraId="30A1CC7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A628B5" w14:paraId="30A1CC79" w14:textId="77777777">
        <w:tc>
          <w:tcPr>
            <w:tcW w:w="2405" w:type="dxa"/>
          </w:tcPr>
          <w:p w14:paraId="30A1CC77"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“Overpayments”</w:t>
            </w:r>
          </w:p>
        </w:tc>
        <w:tc>
          <w:tcPr>
            <w:tcW w:w="7342" w:type="dxa"/>
          </w:tcPr>
          <w:p w14:paraId="30A1CC78"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payment in excess of what is due;</w:t>
            </w:r>
          </w:p>
        </w:tc>
      </w:tr>
      <w:tr w:rsidR="00A628B5" w14:paraId="30A1CC7C" w14:textId="77777777">
        <w:tc>
          <w:tcPr>
            <w:tcW w:w="2405" w:type="dxa"/>
          </w:tcPr>
          <w:p w14:paraId="30A1CC7A"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Pr>
          <w:p w14:paraId="30A1CC7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628B5" w14:paraId="30A1CC7F" w14:textId="77777777">
        <w:tc>
          <w:tcPr>
            <w:tcW w:w="2405" w:type="dxa"/>
          </w:tcPr>
          <w:p w14:paraId="30A1CC7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Pr>
          <w:p w14:paraId="30A1CC7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the context of the Framework Contract, </w:t>
            </w:r>
            <w:proofErr w:type="gramStart"/>
            <w:r>
              <w:rPr>
                <w:rFonts w:ascii="Arial" w:eastAsia="Arial" w:hAnsi="Arial" w:cs="Arial"/>
                <w:color w:val="000000"/>
                <w:sz w:val="24"/>
                <w:szCs w:val="24"/>
              </w:rPr>
              <w:t>CCS</w:t>
            </w:r>
            <w:proofErr w:type="gramEnd"/>
            <w:r>
              <w:rPr>
                <w:rFonts w:ascii="Arial" w:eastAsia="Arial" w:hAnsi="Arial" w:cs="Arial"/>
                <w:color w:val="000000"/>
                <w:sz w:val="24"/>
                <w:szCs w:val="24"/>
              </w:rPr>
              <w:t xml:space="preserve">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628B5" w14:paraId="30A1CC82" w14:textId="77777777">
        <w:tc>
          <w:tcPr>
            <w:tcW w:w="2405" w:type="dxa"/>
          </w:tcPr>
          <w:p w14:paraId="30A1CC80" w14:textId="77777777" w:rsidR="00A628B5" w:rsidRDefault="00726FC7">
            <w:pPr>
              <w:spacing w:after="120"/>
              <w:ind w:left="-108"/>
              <w:rPr>
                <w:rFonts w:ascii="Arial" w:eastAsia="Arial" w:hAnsi="Arial" w:cs="Arial"/>
                <w:b/>
                <w:color w:val="000000"/>
                <w:sz w:val="24"/>
                <w:szCs w:val="24"/>
              </w:rPr>
            </w:pPr>
            <w:r>
              <w:rPr>
                <w:rFonts w:ascii="Arial" w:eastAsia="Arial" w:hAnsi="Arial" w:cs="Arial"/>
                <w:b/>
                <w:sz w:val="24"/>
                <w:szCs w:val="24"/>
              </w:rPr>
              <w:t>"Payment Processing"</w:t>
            </w:r>
          </w:p>
        </w:tc>
        <w:tc>
          <w:tcPr>
            <w:tcW w:w="7342" w:type="dxa"/>
          </w:tcPr>
          <w:p w14:paraId="30A1CC81" w14:textId="77777777" w:rsidR="00A628B5" w:rsidRDefault="00726FC7">
            <w:pPr>
              <w:spacing w:line="276" w:lineRule="auto"/>
              <w:rPr>
                <w:rFonts w:ascii="Arial" w:eastAsia="Arial" w:hAnsi="Arial" w:cs="Arial"/>
                <w:color w:val="000000"/>
                <w:sz w:val="24"/>
                <w:szCs w:val="24"/>
              </w:rPr>
            </w:pPr>
            <w:r>
              <w:rPr>
                <w:rFonts w:ascii="Arial" w:eastAsia="Arial" w:hAnsi="Arial" w:cs="Arial"/>
                <w:sz w:val="24"/>
                <w:szCs w:val="24"/>
              </w:rPr>
              <w:t xml:space="preserve">The transactions </w:t>
            </w:r>
            <w:proofErr w:type="gramStart"/>
            <w:r>
              <w:rPr>
                <w:rFonts w:ascii="Arial" w:eastAsia="Arial" w:hAnsi="Arial" w:cs="Arial"/>
                <w:sz w:val="24"/>
                <w:szCs w:val="24"/>
              </w:rPr>
              <w:t>in regards to</w:t>
            </w:r>
            <w:proofErr w:type="gramEnd"/>
            <w:r>
              <w:rPr>
                <w:rFonts w:ascii="Arial" w:eastAsia="Arial" w:hAnsi="Arial" w:cs="Arial"/>
                <w:sz w:val="24"/>
                <w:szCs w:val="24"/>
              </w:rPr>
              <w:t xml:space="preserve"> taking/making payments both by an agent and the front end/back end systems required.</w:t>
            </w:r>
          </w:p>
        </w:tc>
      </w:tr>
      <w:tr w:rsidR="00A628B5" w14:paraId="30A1CC85" w14:textId="77777777">
        <w:tc>
          <w:tcPr>
            <w:tcW w:w="2405" w:type="dxa"/>
          </w:tcPr>
          <w:p w14:paraId="30A1CC8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Pr>
          <w:p w14:paraId="30A1CC8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628B5" w14:paraId="30A1CC88" w14:textId="77777777">
        <w:tc>
          <w:tcPr>
            <w:tcW w:w="2405" w:type="dxa"/>
          </w:tcPr>
          <w:p w14:paraId="30A1CC8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14:paraId="30A1CC8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628B5" w14:paraId="30A1CC8B" w14:textId="77777777">
        <w:tc>
          <w:tcPr>
            <w:tcW w:w="2405" w:type="dxa"/>
          </w:tcPr>
          <w:p w14:paraId="30A1CC8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Pr>
          <w:p w14:paraId="30A1CC8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w:t>
            </w:r>
            <w:r>
              <w:rPr>
                <w:rFonts w:ascii="Arial" w:eastAsia="Arial" w:hAnsi="Arial" w:cs="Arial"/>
                <w:color w:val="000000"/>
                <w:sz w:val="24"/>
                <w:szCs w:val="24"/>
              </w:rPr>
              <w:t xml:space="preserve"> meaning given to it in the UK GDPR;</w:t>
            </w:r>
          </w:p>
        </w:tc>
      </w:tr>
      <w:tr w:rsidR="00A628B5" w14:paraId="30A1CC8E" w14:textId="77777777">
        <w:tc>
          <w:tcPr>
            <w:tcW w:w="2405" w:type="dxa"/>
          </w:tcPr>
          <w:p w14:paraId="30A1CC8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14:paraId="30A1CC8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w:t>
            </w:r>
            <w:proofErr w:type="gramStart"/>
            <w:r>
              <w:rPr>
                <w:rFonts w:ascii="Arial" w:eastAsia="Arial" w:hAnsi="Arial" w:cs="Arial"/>
                <w:color w:val="000000"/>
                <w:sz w:val="24"/>
                <w:szCs w:val="24"/>
              </w:rPr>
              <w:t>consultants</w:t>
            </w:r>
            <w:proofErr w:type="gramEnd"/>
            <w:r>
              <w:rPr>
                <w:rFonts w:ascii="Arial" w:eastAsia="Arial" w:hAnsi="Arial" w:cs="Arial"/>
                <w:color w:val="000000"/>
                <w:sz w:val="24"/>
                <w:szCs w:val="24"/>
              </w:rPr>
              <w:t xml:space="preserve"> and suppliers of a Party and/or of any Subcontractor and/or Subprocessor engaged in the performance of its obligations under a Contract;</w:t>
            </w:r>
          </w:p>
        </w:tc>
      </w:tr>
      <w:tr w:rsidR="00A628B5" w14:paraId="30A1CC91" w14:textId="77777777">
        <w:tc>
          <w:tcPr>
            <w:tcW w:w="2405" w:type="dxa"/>
          </w:tcPr>
          <w:p w14:paraId="30A1CC8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14:paraId="30A1CC9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legal adviser, an MP or an appropriate b</w:t>
            </w:r>
            <w:r>
              <w:rPr>
                <w:rFonts w:ascii="Arial" w:eastAsia="Arial" w:hAnsi="Arial" w:cs="Arial"/>
                <w:color w:val="000000"/>
                <w:sz w:val="24"/>
                <w:szCs w:val="24"/>
              </w:rPr>
              <w:t xml:space="preserve">ody which a whistle-blower may make a disclosure to as detailed in ‘Whistleblowing: list of prescribed people and bodies’, 24 November 2016, available online at: </w:t>
            </w:r>
            <w:hyperlink r:id="rId12">
              <w:r>
                <w:rPr>
                  <w:rFonts w:ascii="Arial" w:eastAsia="Arial" w:hAnsi="Arial" w:cs="Arial"/>
                  <w:color w:val="0000FF"/>
                  <w:sz w:val="24"/>
                  <w:szCs w:val="24"/>
                  <w:u w:val="single"/>
                </w:rPr>
                <w:t>https://www.gov.uk/government/publications/blowing-the-whistle-list-of-prescribed-pe</w:t>
              </w:r>
              <w:r>
                <w:rPr>
                  <w:rFonts w:ascii="Arial" w:eastAsia="Arial" w:hAnsi="Arial" w:cs="Arial"/>
                  <w:color w:val="0000FF"/>
                  <w:sz w:val="24"/>
                  <w:szCs w:val="24"/>
                  <w:u w:val="single"/>
                </w:rPr>
                <w:t>ople-and-bodies--2/whistleblowing-list-of-prescribed-people-and-bodies</w:t>
              </w:r>
            </w:hyperlink>
            <w:r>
              <w:rPr>
                <w:rFonts w:ascii="Arial" w:eastAsia="Arial" w:hAnsi="Arial" w:cs="Arial"/>
                <w:color w:val="000000"/>
                <w:sz w:val="24"/>
                <w:szCs w:val="24"/>
              </w:rPr>
              <w:t>;</w:t>
            </w:r>
          </w:p>
        </w:tc>
      </w:tr>
      <w:tr w:rsidR="00A628B5" w14:paraId="30A1CC94" w14:textId="77777777">
        <w:tc>
          <w:tcPr>
            <w:tcW w:w="2405" w:type="dxa"/>
          </w:tcPr>
          <w:p w14:paraId="30A1CC9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14:paraId="30A1CC9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628B5" w14:paraId="30A1CC97" w14:textId="77777777">
        <w:tc>
          <w:tcPr>
            <w:tcW w:w="2405" w:type="dxa"/>
          </w:tcPr>
          <w:p w14:paraId="30A1CC9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14:paraId="30A1CC9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628B5" w14:paraId="30A1CC9A" w14:textId="77777777">
        <w:tc>
          <w:tcPr>
            <w:tcW w:w="2405" w:type="dxa"/>
          </w:tcPr>
          <w:p w14:paraId="30A1CC9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14:paraId="30A1CC9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628B5" w14:paraId="30A1CC9D" w14:textId="77777777">
        <w:tc>
          <w:tcPr>
            <w:tcW w:w="2405" w:type="dxa"/>
          </w:tcPr>
          <w:p w14:paraId="30A1CC9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14:paraId="30A1CC9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w:t>
            </w:r>
            <w:r>
              <w:rPr>
                <w:rFonts w:ascii="Arial" w:eastAsia="Arial" w:hAnsi="Arial" w:cs="Arial"/>
                <w:color w:val="000000"/>
                <w:sz w:val="24"/>
                <w:szCs w:val="24"/>
              </w:rPr>
              <w:t>rm;</w:t>
            </w:r>
          </w:p>
        </w:tc>
      </w:tr>
      <w:tr w:rsidR="00A628B5" w14:paraId="30A1CCA0" w14:textId="77777777">
        <w:tc>
          <w:tcPr>
            <w:tcW w:w="2405" w:type="dxa"/>
          </w:tcPr>
          <w:p w14:paraId="30A1CC9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14:paraId="30A1CC9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628B5" w14:paraId="30A1CCA3" w14:textId="77777777">
        <w:tc>
          <w:tcPr>
            <w:tcW w:w="2405" w:type="dxa"/>
          </w:tcPr>
          <w:p w14:paraId="30A1CCA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42" w:type="dxa"/>
          </w:tcPr>
          <w:p w14:paraId="30A1CCA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628B5" w14:paraId="30A1CCAE" w14:textId="77777777">
        <w:tc>
          <w:tcPr>
            <w:tcW w:w="2405" w:type="dxa"/>
          </w:tcPr>
          <w:p w14:paraId="30A1CCA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42" w:type="dxa"/>
          </w:tcPr>
          <w:p w14:paraId="30A1CCA5"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30A1CCA6" w14:textId="77777777" w:rsidR="00A628B5" w:rsidRDefault="00726FC7">
            <w:pPr>
              <w:numPr>
                <w:ilvl w:val="2"/>
                <w:numId w:val="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30A1CCA7" w14:textId="77777777" w:rsidR="00A628B5" w:rsidRDefault="00726FC7">
            <w:pPr>
              <w:numPr>
                <w:ilvl w:val="2"/>
                <w:numId w:val="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w:t>
            </w:r>
            <w:proofErr w:type="gramStart"/>
            <w:r>
              <w:rPr>
                <w:rFonts w:ascii="Arial" w:eastAsia="Arial" w:hAnsi="Arial" w:cs="Arial"/>
                <w:color w:val="000000"/>
                <w:sz w:val="24"/>
                <w:szCs w:val="24"/>
              </w:rPr>
              <w:t>activity;</w:t>
            </w:r>
            <w:proofErr w:type="gramEnd"/>
            <w:r>
              <w:rPr>
                <w:rFonts w:ascii="Arial" w:eastAsia="Arial" w:hAnsi="Arial" w:cs="Arial"/>
                <w:color w:val="000000"/>
                <w:sz w:val="24"/>
                <w:szCs w:val="24"/>
              </w:rPr>
              <w:t xml:space="preserve"> </w:t>
            </w:r>
          </w:p>
          <w:p w14:paraId="30A1CCA8"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accept any financial or other advantage as </w:t>
            </w:r>
            <w:r>
              <w:rPr>
                <w:rFonts w:ascii="Arial" w:eastAsia="Arial" w:hAnsi="Arial" w:cs="Arial"/>
                <w:color w:val="000000"/>
                <w:sz w:val="24"/>
                <w:szCs w:val="24"/>
              </w:rPr>
              <w:t>an inducement or a reward for improper performance of a relevant function or activity in connection with each Contract; or</w:t>
            </w:r>
          </w:p>
          <w:p w14:paraId="30A1CCA9" w14:textId="77777777" w:rsidR="00A628B5" w:rsidRDefault="00726FC7">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30A1CCAA" w14:textId="77777777" w:rsidR="00A628B5" w:rsidRDefault="00726FC7">
            <w:pPr>
              <w:numPr>
                <w:ilvl w:val="2"/>
                <w:numId w:val="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30A1CCAB" w14:textId="77777777" w:rsidR="00A628B5" w:rsidRDefault="00726FC7">
            <w:pPr>
              <w:numPr>
                <w:ilvl w:val="2"/>
                <w:numId w:val="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30A1CCAC" w14:textId="77777777" w:rsidR="00A628B5" w:rsidRDefault="00726FC7">
            <w:pPr>
              <w:numPr>
                <w:ilvl w:val="2"/>
                <w:numId w:val="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30A1CCAD"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(c) above if such activity, </w:t>
            </w:r>
            <w:proofErr w:type="gramStart"/>
            <w:r>
              <w:rPr>
                <w:rFonts w:ascii="Arial" w:eastAsia="Arial" w:hAnsi="Arial" w:cs="Arial"/>
                <w:color w:val="000000"/>
                <w:sz w:val="24"/>
                <w:szCs w:val="24"/>
              </w:rPr>
              <w:t>practice</w:t>
            </w:r>
            <w:proofErr w:type="gramEnd"/>
            <w:r>
              <w:rPr>
                <w:rFonts w:ascii="Arial" w:eastAsia="Arial" w:hAnsi="Arial" w:cs="Arial"/>
                <w:color w:val="000000"/>
                <w:sz w:val="24"/>
                <w:szCs w:val="24"/>
              </w:rPr>
              <w:t xml:space="preserve"> or conduct had been carried out in the UK;</w:t>
            </w:r>
          </w:p>
        </w:tc>
      </w:tr>
      <w:tr w:rsidR="00A628B5" w14:paraId="30A1CCB1" w14:textId="77777777">
        <w:tc>
          <w:tcPr>
            <w:tcW w:w="2405" w:type="dxa"/>
          </w:tcPr>
          <w:p w14:paraId="30A1CCA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42" w:type="dxa"/>
          </w:tcPr>
          <w:p w14:paraId="30A1CCB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A628B5" w14:paraId="30A1CCB4" w14:textId="77777777">
        <w:tc>
          <w:tcPr>
            <w:tcW w:w="2405" w:type="dxa"/>
          </w:tcPr>
          <w:p w14:paraId="30A1CCB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“Rating Agency”</w:t>
            </w:r>
          </w:p>
        </w:tc>
        <w:tc>
          <w:tcPr>
            <w:tcW w:w="7342" w:type="dxa"/>
          </w:tcPr>
          <w:p w14:paraId="30A1CCB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A628B5" w14:paraId="30A1CCB7" w14:textId="77777777">
        <w:tc>
          <w:tcPr>
            <w:tcW w:w="2405" w:type="dxa"/>
          </w:tcPr>
          <w:p w14:paraId="30A1CCB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“RBAC”</w:t>
            </w:r>
          </w:p>
        </w:tc>
        <w:tc>
          <w:tcPr>
            <w:tcW w:w="7342" w:type="dxa"/>
          </w:tcPr>
          <w:p w14:paraId="30A1CCB6"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sz w:val="24"/>
                <w:szCs w:val="24"/>
              </w:rPr>
            </w:pPr>
            <w:r>
              <w:rPr>
                <w:rFonts w:ascii="Arial" w:eastAsia="Arial" w:hAnsi="Arial" w:cs="Arial"/>
                <w:sz w:val="24"/>
                <w:szCs w:val="24"/>
              </w:rPr>
              <w:t>Role-based access control (RBAC) restricts network access based on a person's role within an organization</w:t>
            </w:r>
          </w:p>
        </w:tc>
      </w:tr>
      <w:tr w:rsidR="00A628B5" w14:paraId="30A1CCBA" w14:textId="77777777">
        <w:tc>
          <w:tcPr>
            <w:tcW w:w="2405" w:type="dxa"/>
          </w:tcPr>
          <w:p w14:paraId="30A1CCB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Pr>
          <w:p w14:paraId="30A1CCB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628B5" w14:paraId="30A1CCBD" w14:textId="77777777">
        <w:tc>
          <w:tcPr>
            <w:tcW w:w="2405" w:type="dxa"/>
          </w:tcPr>
          <w:p w14:paraId="30A1CCB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14:paraId="30A1CCB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628B5" w14:paraId="30A1CCC3" w14:textId="77777777">
        <w:tc>
          <w:tcPr>
            <w:tcW w:w="2405" w:type="dxa"/>
          </w:tcPr>
          <w:p w14:paraId="30A1CCB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14:paraId="30A1CCB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30A1CCC0"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w:t>
            </w:r>
            <w:proofErr w:type="gramStart"/>
            <w:r>
              <w:rPr>
                <w:rFonts w:ascii="Arial" w:eastAsia="Arial" w:hAnsi="Arial" w:cs="Arial"/>
                <w:color w:val="000000"/>
                <w:sz w:val="24"/>
                <w:szCs w:val="24"/>
              </w:rPr>
              <w:t>analysis;</w:t>
            </w:r>
            <w:proofErr w:type="gramEnd"/>
            <w:r>
              <w:rPr>
                <w:rFonts w:ascii="Arial" w:eastAsia="Arial" w:hAnsi="Arial" w:cs="Arial"/>
                <w:color w:val="000000"/>
                <w:sz w:val="24"/>
                <w:szCs w:val="24"/>
              </w:rPr>
              <w:t xml:space="preserve"> </w:t>
            </w:r>
          </w:p>
          <w:p w14:paraId="30A1CCC1" w14:textId="77777777" w:rsidR="00A628B5" w:rsidRDefault="00726FC7">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30A1CCC2"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w:t>
            </w:r>
            <w:r>
              <w:rPr>
                <w:rFonts w:ascii="Arial" w:eastAsia="Arial" w:hAnsi="Arial" w:cs="Arial"/>
                <w:color w:val="000000"/>
                <w:sz w:val="24"/>
                <w:szCs w:val="24"/>
              </w:rPr>
              <w:t>rring, including timescales for such steps and for the rectification of the Default (where applicable);</w:t>
            </w:r>
          </w:p>
        </w:tc>
      </w:tr>
      <w:tr w:rsidR="00A628B5" w14:paraId="30A1CCC6" w14:textId="77777777">
        <w:tc>
          <w:tcPr>
            <w:tcW w:w="2405" w:type="dxa"/>
          </w:tcPr>
          <w:p w14:paraId="30A1CCC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42" w:type="dxa"/>
          </w:tcPr>
          <w:p w14:paraId="30A1CCC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628B5" w14:paraId="30A1CCC9" w14:textId="77777777">
        <w:tc>
          <w:tcPr>
            <w:tcW w:w="2405" w:type="dxa"/>
          </w:tcPr>
          <w:p w14:paraId="30A1CCC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14:paraId="30A1CCC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628B5" w14:paraId="30A1CCCE" w14:textId="77777777">
        <w:tc>
          <w:tcPr>
            <w:tcW w:w="2405" w:type="dxa"/>
          </w:tcPr>
          <w:p w14:paraId="30A1CCC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42" w:type="dxa"/>
          </w:tcPr>
          <w:p w14:paraId="30A1CCC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14:paraId="30A1CCCC"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14:paraId="30A1CCCD"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628B5" w14:paraId="30A1CCD1" w14:textId="77777777">
        <w:tc>
          <w:tcPr>
            <w:tcW w:w="2405" w:type="dxa"/>
          </w:tcPr>
          <w:p w14:paraId="30A1CCC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42" w:type="dxa"/>
          </w:tcPr>
          <w:p w14:paraId="30A1CCD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628B5" w14:paraId="30A1CCD6" w14:textId="77777777">
        <w:tc>
          <w:tcPr>
            <w:tcW w:w="2405" w:type="dxa"/>
          </w:tcPr>
          <w:p w14:paraId="30A1CCD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14:paraId="30A1CCD3"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Personal Data and any information, however it is conveyed, that relates to the business, affairs, developments, property rights, trade secrets, Know-How and IPR of the Relevant Authority (including all Relevant Authority Existing IPR and New IPR</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30A1CCD4"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14:paraId="30A1CCD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628B5" w14:paraId="30A1CCD9" w14:textId="77777777">
        <w:tc>
          <w:tcPr>
            <w:tcW w:w="2405" w:type="dxa"/>
          </w:tcPr>
          <w:p w14:paraId="30A1CCD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14:paraId="30A1CCD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applicable Law relating to bribery, </w:t>
            </w:r>
            <w:proofErr w:type="gramStart"/>
            <w:r>
              <w:rPr>
                <w:rFonts w:ascii="Arial" w:eastAsia="Arial" w:hAnsi="Arial" w:cs="Arial"/>
                <w:color w:val="000000"/>
                <w:sz w:val="24"/>
                <w:szCs w:val="24"/>
              </w:rPr>
              <w:t>corruption</w:t>
            </w:r>
            <w:proofErr w:type="gramEnd"/>
            <w:r>
              <w:rPr>
                <w:rFonts w:ascii="Arial" w:eastAsia="Arial" w:hAnsi="Arial" w:cs="Arial"/>
                <w:color w:val="000000"/>
                <w:sz w:val="24"/>
                <w:szCs w:val="24"/>
              </w:rPr>
              <w:t xml:space="preserve"> and fraud, including the Bribery Act 2010 and any guidance issued by the Secretary of State pursuant to section 9 of the Bribery Act 2010;</w:t>
            </w:r>
          </w:p>
        </w:tc>
      </w:tr>
      <w:tr w:rsidR="00A628B5" w14:paraId="30A1CCDC" w14:textId="77777777">
        <w:tc>
          <w:tcPr>
            <w:tcW w:w="2405" w:type="dxa"/>
          </w:tcPr>
          <w:p w14:paraId="30A1CCDA"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Pr>
          <w:p w14:paraId="30A1CCD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628B5" w14:paraId="30A1CCDF" w14:textId="77777777">
        <w:tc>
          <w:tcPr>
            <w:tcW w:w="2405" w:type="dxa"/>
          </w:tcPr>
          <w:p w14:paraId="30A1CCD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14:paraId="30A1CCDE" w14:textId="77777777" w:rsidR="00A628B5" w:rsidRDefault="00726FC7">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628B5" w14:paraId="30A1CCE2" w14:textId="77777777">
        <w:tc>
          <w:tcPr>
            <w:tcW w:w="2405" w:type="dxa"/>
          </w:tcPr>
          <w:p w14:paraId="30A1CCE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42" w:type="dxa"/>
          </w:tcPr>
          <w:p w14:paraId="30A1CCE1" w14:textId="77777777" w:rsidR="00A628B5" w:rsidRDefault="00726FC7">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A628B5" w14:paraId="30A1CCE5" w14:textId="77777777">
        <w:tc>
          <w:tcPr>
            <w:tcW w:w="2405" w:type="dxa"/>
          </w:tcPr>
          <w:p w14:paraId="30A1CCE3"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42" w:type="dxa"/>
          </w:tcPr>
          <w:p w14:paraId="30A1CCE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628B5" w14:paraId="30A1CCE8" w14:textId="77777777">
        <w:tc>
          <w:tcPr>
            <w:tcW w:w="2405" w:type="dxa"/>
          </w:tcPr>
          <w:p w14:paraId="30A1CCE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42" w:type="dxa"/>
          </w:tcPr>
          <w:p w14:paraId="30A1CCE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628B5" w14:paraId="30A1CCEB" w14:textId="77777777">
        <w:tc>
          <w:tcPr>
            <w:tcW w:w="2405" w:type="dxa"/>
          </w:tcPr>
          <w:p w14:paraId="30A1CCE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42" w:type="dxa"/>
          </w:tcPr>
          <w:p w14:paraId="30A1CCE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A628B5" w14:paraId="30A1CCEE" w14:textId="77777777">
        <w:tc>
          <w:tcPr>
            <w:tcW w:w="2405" w:type="dxa"/>
          </w:tcPr>
          <w:p w14:paraId="30A1CCE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Pr>
          <w:p w14:paraId="30A1CCE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insurances required by Joint Schedule 3 (Insurance Requirements</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or any additional insurances specified in the Order Form; </w:t>
            </w:r>
          </w:p>
        </w:tc>
      </w:tr>
      <w:tr w:rsidR="00A628B5" w14:paraId="30A1CCF1" w14:textId="77777777">
        <w:tc>
          <w:tcPr>
            <w:tcW w:w="2405" w:type="dxa"/>
          </w:tcPr>
          <w:p w14:paraId="30A1CCE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“RTI”</w:t>
            </w:r>
          </w:p>
        </w:tc>
        <w:tc>
          <w:tcPr>
            <w:tcW w:w="7342" w:type="dxa"/>
          </w:tcPr>
          <w:p w14:paraId="30A1CCF0"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Real Time Information</w:t>
            </w:r>
          </w:p>
        </w:tc>
      </w:tr>
      <w:tr w:rsidR="00A628B5" w14:paraId="30A1CCF4" w14:textId="77777777">
        <w:tc>
          <w:tcPr>
            <w:tcW w:w="2405" w:type="dxa"/>
          </w:tcPr>
          <w:p w14:paraId="30A1CCF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14:paraId="30A1CCF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w:t>
            </w:r>
            <w:r>
              <w:rPr>
                <w:rFonts w:ascii="Arial" w:eastAsia="Arial" w:hAnsi="Arial" w:cs="Arial"/>
                <w:color w:val="000000"/>
                <w:sz w:val="24"/>
                <w:szCs w:val="24"/>
              </w:rPr>
              <w:t xml:space="preserve">lier has met all of the requirements of an Order, Achieved a </w:t>
            </w:r>
            <w:proofErr w:type="gramStart"/>
            <w:r>
              <w:rPr>
                <w:rFonts w:ascii="Arial" w:eastAsia="Arial" w:hAnsi="Arial" w:cs="Arial"/>
                <w:color w:val="000000"/>
                <w:sz w:val="24"/>
                <w:szCs w:val="24"/>
              </w:rPr>
              <w:t>Milestone</w:t>
            </w:r>
            <w:proofErr w:type="gramEnd"/>
            <w:r>
              <w:rPr>
                <w:rFonts w:ascii="Arial" w:eastAsia="Arial" w:hAnsi="Arial" w:cs="Arial"/>
                <w:color w:val="000000"/>
                <w:sz w:val="24"/>
                <w:szCs w:val="24"/>
              </w:rPr>
              <w:t xml:space="preserve"> or a Test;</w:t>
            </w:r>
          </w:p>
        </w:tc>
      </w:tr>
      <w:tr w:rsidR="00A628B5" w14:paraId="30A1CCF7" w14:textId="77777777">
        <w:tc>
          <w:tcPr>
            <w:tcW w:w="2405" w:type="dxa"/>
          </w:tcPr>
          <w:p w14:paraId="30A1CCF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42" w:type="dxa"/>
          </w:tcPr>
          <w:p w14:paraId="30A1CCF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628B5" w14:paraId="30A1CCFA" w14:textId="77777777">
        <w:tc>
          <w:tcPr>
            <w:tcW w:w="2405" w:type="dxa"/>
          </w:tcPr>
          <w:p w14:paraId="30A1CCF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Pr>
          <w:p w14:paraId="30A1CCF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w:t>
            </w:r>
            <w:r>
              <w:rPr>
                <w:rFonts w:ascii="Arial" w:eastAsia="Arial" w:hAnsi="Arial" w:cs="Arial"/>
                <w:color w:val="000000"/>
                <w:sz w:val="24"/>
                <w:szCs w:val="24"/>
              </w:rPr>
              <w:t xml:space="preserve">pplied to the Supplier), as updated from time to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and notified to the Supplier;</w:t>
            </w:r>
          </w:p>
        </w:tc>
      </w:tr>
      <w:tr w:rsidR="00A628B5" w14:paraId="30A1CCFD" w14:textId="77777777">
        <w:tc>
          <w:tcPr>
            <w:tcW w:w="2405" w:type="dxa"/>
          </w:tcPr>
          <w:p w14:paraId="30A1CCF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42" w:type="dxa"/>
          </w:tcPr>
          <w:p w14:paraId="30A1CCFC"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628B5" w14:paraId="30A1CD00" w14:textId="77777777">
        <w:tc>
          <w:tcPr>
            <w:tcW w:w="2405" w:type="dxa"/>
          </w:tcPr>
          <w:p w14:paraId="30A1CCF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42" w:type="dxa"/>
          </w:tcPr>
          <w:p w14:paraId="30A1CCF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628B5" w14:paraId="30A1CD03" w14:textId="77777777">
        <w:tc>
          <w:tcPr>
            <w:tcW w:w="2405" w:type="dxa"/>
          </w:tcPr>
          <w:p w14:paraId="30A1CD0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“Service Credits”</w:t>
            </w:r>
          </w:p>
        </w:tc>
        <w:tc>
          <w:tcPr>
            <w:tcW w:w="7342" w:type="dxa"/>
          </w:tcPr>
          <w:p w14:paraId="30A1CD02"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the sums payable in respect of the failure by the Contractor to meet one or more Service Levels;</w:t>
            </w:r>
          </w:p>
        </w:tc>
      </w:tr>
      <w:tr w:rsidR="00A628B5" w14:paraId="30A1CD06" w14:textId="77777777">
        <w:tc>
          <w:tcPr>
            <w:tcW w:w="2405" w:type="dxa"/>
          </w:tcPr>
          <w:p w14:paraId="30A1CD0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“Service Delivery”</w:t>
            </w:r>
          </w:p>
        </w:tc>
        <w:tc>
          <w:tcPr>
            <w:tcW w:w="7342" w:type="dxa"/>
          </w:tcPr>
          <w:p w14:paraId="30A1CD05"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the act of delivering a service to customers;</w:t>
            </w:r>
          </w:p>
        </w:tc>
      </w:tr>
      <w:tr w:rsidR="00A628B5" w14:paraId="30A1CD09" w14:textId="77777777">
        <w:tc>
          <w:tcPr>
            <w:tcW w:w="2405" w:type="dxa"/>
          </w:tcPr>
          <w:p w14:paraId="30A1CD0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14:paraId="30A1CD0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A628B5" w14:paraId="30A1CD0C" w14:textId="77777777">
        <w:tc>
          <w:tcPr>
            <w:tcW w:w="2405" w:type="dxa"/>
          </w:tcPr>
          <w:p w14:paraId="30A1CD0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“Service Level Agreement"</w:t>
            </w:r>
          </w:p>
        </w:tc>
        <w:tc>
          <w:tcPr>
            <w:tcW w:w="7342" w:type="dxa"/>
          </w:tcPr>
          <w:p w14:paraId="30A1CD0B"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A628B5" w14:paraId="30A1CD0F" w14:textId="77777777">
        <w:tc>
          <w:tcPr>
            <w:tcW w:w="2405" w:type="dxa"/>
          </w:tcPr>
          <w:p w14:paraId="30A1CD0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14:paraId="30A1CD0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628B5" w14:paraId="30A1CD12" w14:textId="77777777">
        <w:tc>
          <w:tcPr>
            <w:tcW w:w="2405" w:type="dxa"/>
          </w:tcPr>
          <w:p w14:paraId="30A1CD10"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342" w:type="dxa"/>
          </w:tcPr>
          <w:p w14:paraId="30A1CD1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628B5" w14:paraId="30A1CD15" w14:textId="77777777">
        <w:tc>
          <w:tcPr>
            <w:tcW w:w="2405" w:type="dxa"/>
          </w:tcPr>
          <w:p w14:paraId="30A1CD13"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14:paraId="30A1CD1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transfer of the Deliverables (or any part of the Deliverables), for </w:t>
            </w:r>
            <w:r>
              <w:rPr>
                <w:rFonts w:ascii="Arial" w:eastAsia="Arial" w:hAnsi="Arial" w:cs="Arial"/>
                <w:color w:val="000000"/>
                <w:sz w:val="24"/>
                <w:szCs w:val="24"/>
              </w:rPr>
              <w:t>whatever reason, from the Supplier or any Subcontractor to a Replacement Supplier or a Replacement Subcontractor;</w:t>
            </w:r>
          </w:p>
        </w:tc>
      </w:tr>
      <w:tr w:rsidR="00A628B5" w14:paraId="30A1CD18" w14:textId="77777777">
        <w:tc>
          <w:tcPr>
            <w:tcW w:w="2405" w:type="dxa"/>
          </w:tcPr>
          <w:p w14:paraId="30A1CD1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42" w:type="dxa"/>
          </w:tcPr>
          <w:p w14:paraId="30A1CD1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628B5" w14:paraId="30A1CD1B" w14:textId="77777777">
        <w:tc>
          <w:tcPr>
            <w:tcW w:w="2405" w:type="dxa"/>
          </w:tcPr>
          <w:p w14:paraId="30A1CD1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“Shared Services Strategy”</w:t>
            </w:r>
          </w:p>
        </w:tc>
        <w:tc>
          <w:tcPr>
            <w:tcW w:w="7342" w:type="dxa"/>
          </w:tcPr>
          <w:p w14:paraId="30A1CD1A" w14:textId="77777777" w:rsidR="00A628B5" w:rsidRDefault="00726FC7">
            <w:pPr>
              <w:spacing w:line="276" w:lineRule="auto"/>
              <w:rPr>
                <w:rFonts w:ascii="Arial" w:eastAsia="Arial" w:hAnsi="Arial" w:cs="Arial"/>
                <w:sz w:val="24"/>
                <w:szCs w:val="24"/>
              </w:rPr>
            </w:pPr>
            <w:r>
              <w:rPr>
                <w:rFonts w:ascii="Arial" w:eastAsia="Arial" w:hAnsi="Arial" w:cs="Arial"/>
                <w:color w:val="202124"/>
                <w:sz w:val="24"/>
                <w:szCs w:val="24"/>
                <w:highlight w:val="white"/>
              </w:rPr>
              <w:t xml:space="preserve">a delivery model for the effective and efficient delivery of non-core </w:t>
            </w:r>
            <w:r>
              <w:rPr>
                <w:rFonts w:ascii="Arial" w:eastAsia="Arial" w:hAnsi="Arial" w:cs="Arial"/>
                <w:b/>
                <w:color w:val="202124"/>
                <w:sz w:val="24"/>
                <w:szCs w:val="24"/>
                <w:highlight w:val="white"/>
              </w:rPr>
              <w:t>services</w:t>
            </w:r>
            <w:r>
              <w:rPr>
                <w:rFonts w:ascii="Arial" w:eastAsia="Arial" w:hAnsi="Arial" w:cs="Arial"/>
                <w:color w:val="202124"/>
                <w:sz w:val="24"/>
                <w:szCs w:val="24"/>
                <w:highlight w:val="white"/>
              </w:rPr>
              <w:t xml:space="preserve"> to the business. It employs a specialist team, geographically unconstrained, and focuses on the requirements of the customer</w:t>
            </w:r>
          </w:p>
        </w:tc>
      </w:tr>
      <w:tr w:rsidR="00A628B5" w14:paraId="30A1CD22" w14:textId="77777777">
        <w:tc>
          <w:tcPr>
            <w:tcW w:w="2405" w:type="dxa"/>
          </w:tcPr>
          <w:p w14:paraId="30A1CD1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42" w:type="dxa"/>
          </w:tcPr>
          <w:p w14:paraId="30A1CD1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30A1CD1E" w14:textId="77777777" w:rsidR="00A628B5" w:rsidRDefault="00726FC7">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w:t>
            </w: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w:t>
            </w:r>
          </w:p>
          <w:p w14:paraId="30A1CD1F"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Supplier manages, </w:t>
            </w:r>
            <w:proofErr w:type="gramStart"/>
            <w:r>
              <w:rPr>
                <w:rFonts w:ascii="Arial" w:eastAsia="Arial" w:hAnsi="Arial" w:cs="Arial"/>
                <w:color w:val="000000"/>
                <w:sz w:val="24"/>
                <w:szCs w:val="24"/>
              </w:rPr>
              <w:t>organises</w:t>
            </w:r>
            <w:proofErr w:type="gramEnd"/>
            <w:r>
              <w:rPr>
                <w:rFonts w:ascii="Arial" w:eastAsia="Arial" w:hAnsi="Arial" w:cs="Arial"/>
                <w:color w:val="000000"/>
                <w:sz w:val="24"/>
                <w:szCs w:val="24"/>
              </w:rPr>
              <w:t xml:space="preserve"> or otherwise directs the provision or the use of the Deliverables; or</w:t>
            </w:r>
          </w:p>
          <w:p w14:paraId="30A1CD20"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14:paraId="30A1CD21"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located (where a</w:t>
            </w:r>
            <w:r>
              <w:rPr>
                <w:rFonts w:ascii="Arial" w:eastAsia="Arial" w:hAnsi="Arial" w:cs="Arial"/>
                <w:color w:val="000000"/>
                <w:sz w:val="24"/>
                <w:szCs w:val="24"/>
              </w:rPr>
              <w:t>ny part of the Deliverables provided falls within Call-Off Schedule 6 (ICT Services));</w:t>
            </w:r>
          </w:p>
        </w:tc>
      </w:tr>
      <w:tr w:rsidR="00A628B5" w14:paraId="30A1CD25" w14:textId="77777777">
        <w:trPr>
          <w:trHeight w:val="945"/>
        </w:trPr>
        <w:tc>
          <w:tcPr>
            <w:tcW w:w="2405" w:type="dxa"/>
          </w:tcPr>
          <w:p w14:paraId="30A1CD2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342" w:type="dxa"/>
          </w:tcPr>
          <w:p w14:paraId="30A1CD2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w:t>
            </w:r>
            <w:proofErr w:type="gramStart"/>
            <w:r>
              <w:rPr>
                <w:rFonts w:ascii="Arial" w:eastAsia="Arial" w:hAnsi="Arial" w:cs="Arial"/>
                <w:color w:val="000000"/>
                <w:sz w:val="24"/>
                <w:szCs w:val="24"/>
              </w:rPr>
              <w:t>enterprises;</w:t>
            </w:r>
            <w:proofErr w:type="gramEnd"/>
          </w:p>
        </w:tc>
      </w:tr>
      <w:tr w:rsidR="00A628B5" w14:paraId="30A1CD28" w14:textId="77777777">
        <w:trPr>
          <w:trHeight w:val="945"/>
        </w:trPr>
        <w:tc>
          <w:tcPr>
            <w:tcW w:w="2405" w:type="dxa"/>
          </w:tcPr>
          <w:p w14:paraId="30A1CD2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14:paraId="30A1CD2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A628B5" w14:paraId="30A1CD2B" w14:textId="77777777">
        <w:trPr>
          <w:trHeight w:val="945"/>
        </w:trPr>
        <w:tc>
          <w:tcPr>
            <w:tcW w:w="2405" w:type="dxa"/>
          </w:tcPr>
          <w:p w14:paraId="30A1CD2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Pr>
          <w:p w14:paraId="30A1CD2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628B5" w14:paraId="30A1CD2E" w14:textId="77777777">
        <w:trPr>
          <w:trHeight w:val="945"/>
        </w:trPr>
        <w:tc>
          <w:tcPr>
            <w:tcW w:w="2405" w:type="dxa"/>
          </w:tcPr>
          <w:p w14:paraId="30A1CD2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14:paraId="30A1CD2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A628B5" w14:paraId="30A1CD31" w14:textId="77777777">
        <w:tc>
          <w:tcPr>
            <w:tcW w:w="2405" w:type="dxa"/>
          </w:tcPr>
          <w:p w14:paraId="30A1CD2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“Standard Service Levels”</w:t>
            </w:r>
          </w:p>
        </w:tc>
        <w:tc>
          <w:tcPr>
            <w:tcW w:w="7342" w:type="dxa"/>
          </w:tcPr>
          <w:p w14:paraId="30A1CD30"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A628B5" w14:paraId="30A1CD38" w14:textId="77777777">
        <w:tc>
          <w:tcPr>
            <w:tcW w:w="2405" w:type="dxa"/>
          </w:tcPr>
          <w:p w14:paraId="30A1CD3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14:paraId="30A1CD3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30A1CD34"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t>
            </w:r>
            <w:proofErr w:type="gramStart"/>
            <w:r>
              <w:rPr>
                <w:rFonts w:ascii="Arial" w:eastAsia="Arial" w:hAnsi="Arial" w:cs="Arial"/>
                <w:color w:val="000000"/>
                <w:sz w:val="24"/>
                <w:szCs w:val="24"/>
              </w:rPr>
              <w:t>with;</w:t>
            </w:r>
            <w:proofErr w:type="gramEnd"/>
            <w:r>
              <w:rPr>
                <w:rFonts w:ascii="Arial" w:eastAsia="Arial" w:hAnsi="Arial" w:cs="Arial"/>
                <w:color w:val="000000"/>
                <w:sz w:val="24"/>
                <w:szCs w:val="24"/>
              </w:rPr>
              <w:t xml:space="preserve"> </w:t>
            </w:r>
          </w:p>
          <w:p w14:paraId="30A1CD35"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roofErr w:type="gramStart"/>
            <w:r>
              <w:rPr>
                <w:rFonts w:ascii="Arial" w:eastAsia="Arial" w:hAnsi="Arial" w:cs="Arial"/>
                <w:color w:val="000000"/>
                <w:sz w:val="24"/>
                <w:szCs w:val="24"/>
              </w:rPr>
              <w:t>);</w:t>
            </w:r>
            <w:proofErr w:type="gramEnd"/>
          </w:p>
          <w:p w14:paraId="30A1CD36"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w:t>
            </w:r>
            <w:proofErr w:type="gramStart"/>
            <w:r>
              <w:rPr>
                <w:rFonts w:ascii="Arial" w:eastAsia="Arial" w:hAnsi="Arial" w:cs="Arial"/>
                <w:color w:val="000000"/>
                <w:sz w:val="24"/>
                <w:szCs w:val="24"/>
              </w:rPr>
              <w:t>time;</w:t>
            </w:r>
            <w:proofErr w:type="gramEnd"/>
          </w:p>
          <w:p w14:paraId="30A1CD37"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628B5" w14:paraId="30A1CD3B" w14:textId="77777777">
        <w:tc>
          <w:tcPr>
            <w:tcW w:w="2405" w:type="dxa"/>
          </w:tcPr>
          <w:p w14:paraId="30A1CD3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342" w:type="dxa"/>
          </w:tcPr>
          <w:p w14:paraId="30A1CD3A"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628B5" w14:paraId="30A1CD3E" w14:textId="77777777">
        <w:tc>
          <w:tcPr>
            <w:tcW w:w="2405" w:type="dxa"/>
          </w:tcPr>
          <w:p w14:paraId="30A1CD3C"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14:paraId="30A1CD3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628B5" w14:paraId="30A1CD41" w14:textId="77777777">
        <w:tc>
          <w:tcPr>
            <w:tcW w:w="2405" w:type="dxa"/>
          </w:tcPr>
          <w:p w14:paraId="30A1CD3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14:paraId="30A1CD4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628B5" w14:paraId="30A1CD47" w14:textId="77777777">
        <w:tc>
          <w:tcPr>
            <w:tcW w:w="2405" w:type="dxa"/>
          </w:tcPr>
          <w:p w14:paraId="30A1CD42"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342" w:type="dxa"/>
          </w:tcPr>
          <w:p w14:paraId="30A1CD4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30A1CD44" w14:textId="77777777" w:rsidR="00A628B5" w:rsidRDefault="00726FC7">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roofErr w:type="gramStart"/>
            <w:r>
              <w:rPr>
                <w:rFonts w:ascii="Arial" w:eastAsia="Arial" w:hAnsi="Arial" w:cs="Arial"/>
                <w:color w:val="000000"/>
                <w:sz w:val="24"/>
                <w:szCs w:val="24"/>
              </w:rPr>
              <w:t>);</w:t>
            </w:r>
            <w:proofErr w:type="gramEnd"/>
          </w:p>
          <w:p w14:paraId="30A1CD45"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30A1CD46"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is responsible for the management, </w:t>
            </w:r>
            <w:proofErr w:type="gramStart"/>
            <w:r>
              <w:rPr>
                <w:rFonts w:ascii="Arial" w:eastAsia="Arial" w:hAnsi="Arial" w:cs="Arial"/>
                <w:color w:val="000000"/>
                <w:sz w:val="24"/>
                <w:szCs w:val="24"/>
              </w:rPr>
              <w:t>direction</w:t>
            </w:r>
            <w:proofErr w:type="gramEnd"/>
            <w:r>
              <w:rPr>
                <w:rFonts w:ascii="Arial" w:eastAsia="Arial" w:hAnsi="Arial" w:cs="Arial"/>
                <w:color w:val="000000"/>
                <w:sz w:val="24"/>
                <w:szCs w:val="24"/>
              </w:rPr>
              <w:t xml:space="preserve"> or control of the provision of the Deliverables (or any part of them);</w:t>
            </w:r>
          </w:p>
        </w:tc>
      </w:tr>
      <w:tr w:rsidR="00A628B5" w14:paraId="30A1CD4A" w14:textId="77777777">
        <w:tc>
          <w:tcPr>
            <w:tcW w:w="2405" w:type="dxa"/>
          </w:tcPr>
          <w:p w14:paraId="30A1CD4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Pr>
          <w:p w14:paraId="30A1CD4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628B5" w14:paraId="30A1CD4D" w14:textId="77777777">
        <w:tc>
          <w:tcPr>
            <w:tcW w:w="2405" w:type="dxa"/>
          </w:tcPr>
          <w:p w14:paraId="30A1CD4B"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“Subject Access Request”</w:t>
            </w:r>
          </w:p>
        </w:tc>
        <w:tc>
          <w:tcPr>
            <w:tcW w:w="7342" w:type="dxa"/>
          </w:tcPr>
          <w:p w14:paraId="30A1CD4C"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s a written request to a company or organisation asking for access to the personal information it holds on you;</w:t>
            </w:r>
          </w:p>
        </w:tc>
      </w:tr>
      <w:tr w:rsidR="00A628B5" w14:paraId="30A1CD50" w14:textId="77777777">
        <w:tc>
          <w:tcPr>
            <w:tcW w:w="2405" w:type="dxa"/>
          </w:tcPr>
          <w:p w14:paraId="30A1CD4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342" w:type="dxa"/>
          </w:tcPr>
          <w:p w14:paraId="30A1CD4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628B5" w14:paraId="30A1CD53" w14:textId="77777777">
        <w:tc>
          <w:tcPr>
            <w:tcW w:w="2405" w:type="dxa"/>
          </w:tcPr>
          <w:p w14:paraId="30A1CD5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Pr>
          <w:p w14:paraId="30A1CD5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628B5" w14:paraId="30A1CD56" w14:textId="77777777">
        <w:tc>
          <w:tcPr>
            <w:tcW w:w="2405" w:type="dxa"/>
          </w:tcPr>
          <w:p w14:paraId="30A1CD5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42" w:type="dxa"/>
          </w:tcPr>
          <w:p w14:paraId="30A1CD5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w:t>
            </w:r>
            <w:r>
              <w:rPr>
                <w:rFonts w:ascii="Arial" w:eastAsia="Arial" w:hAnsi="Arial" w:cs="Arial"/>
                <w:color w:val="000000"/>
                <w:sz w:val="24"/>
                <w:szCs w:val="24"/>
              </w:rPr>
              <w:t>he Deliverables in accordance with the Call-Off Contract but excluding the Buyer Assets;</w:t>
            </w:r>
          </w:p>
        </w:tc>
      </w:tr>
      <w:tr w:rsidR="00A628B5" w14:paraId="30A1CD59" w14:textId="77777777">
        <w:tc>
          <w:tcPr>
            <w:tcW w:w="2405" w:type="dxa"/>
          </w:tcPr>
          <w:p w14:paraId="30A1CD5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14:paraId="30A1CD5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628B5" w14:paraId="30A1CD5E" w14:textId="77777777">
        <w:tc>
          <w:tcPr>
            <w:tcW w:w="2405" w:type="dxa"/>
          </w:tcPr>
          <w:p w14:paraId="30A1CD5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Pr>
          <w:p w14:paraId="30A1CD5B"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it is conveyed, that relates to the business, affairs, developments, IPR of the Supplier (including the Supplier Existing IPR) trade secrets, Know-How, and/or personnel of the Supplier; </w:t>
            </w:r>
          </w:p>
          <w:p w14:paraId="30A1CD5C"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 xml:space="preserve">being confidential (whether or not it is marked as "confidential") or which ought reasonably to be considered to be confidential and which comes (or has come) to the Supplier’s attention or into the Supplier’s possession in connection with a </w:t>
            </w:r>
            <w:proofErr w:type="gramStart"/>
            <w:r>
              <w:rPr>
                <w:rFonts w:ascii="Arial" w:eastAsia="Arial" w:hAnsi="Arial" w:cs="Arial"/>
                <w:color w:val="000000"/>
                <w:sz w:val="24"/>
                <w:szCs w:val="24"/>
              </w:rPr>
              <w:t>Contract;</w:t>
            </w:r>
            <w:proofErr w:type="gramEnd"/>
          </w:p>
          <w:p w14:paraId="30A1CD5D"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A628B5" w14:paraId="30A1CD61" w14:textId="77777777">
        <w:tc>
          <w:tcPr>
            <w:tcW w:w="2405" w:type="dxa"/>
          </w:tcPr>
          <w:p w14:paraId="30A1CD5F" w14:textId="77777777" w:rsidR="00A628B5" w:rsidRDefault="00726FC7">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42" w:type="dxa"/>
          </w:tcPr>
          <w:p w14:paraId="30A1CD60" w14:textId="77777777" w:rsidR="00A628B5" w:rsidRDefault="00726FC7">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A628B5" w14:paraId="30A1CD64" w14:textId="77777777">
        <w:tc>
          <w:tcPr>
            <w:tcW w:w="2405" w:type="dxa"/>
          </w:tcPr>
          <w:p w14:paraId="30A1CD6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42" w:type="dxa"/>
          </w:tcPr>
          <w:p w14:paraId="30A1CD6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hardware, computer and telecoms devices, equipment, plant, </w:t>
            </w:r>
            <w:proofErr w:type="gramStart"/>
            <w:r>
              <w:rPr>
                <w:rFonts w:ascii="Arial" w:eastAsia="Arial" w:hAnsi="Arial" w:cs="Arial"/>
                <w:color w:val="000000"/>
                <w:sz w:val="24"/>
                <w:szCs w:val="24"/>
              </w:rPr>
              <w:t>materials</w:t>
            </w:r>
            <w:proofErr w:type="gramEnd"/>
            <w:r>
              <w:rPr>
                <w:rFonts w:ascii="Arial" w:eastAsia="Arial" w:hAnsi="Arial" w:cs="Arial"/>
                <w:color w:val="000000"/>
                <w:sz w:val="24"/>
                <w:szCs w:val="24"/>
              </w:rPr>
              <w:t xml:space="preserve"> and such other items supplied and used by the Supplier (but not hired, leased or loaned from the Buyer) in the performance of its obligations under this Call-Off Contract;</w:t>
            </w:r>
          </w:p>
        </w:tc>
      </w:tr>
      <w:tr w:rsidR="00A628B5" w14:paraId="30A1CD67" w14:textId="77777777">
        <w:tc>
          <w:tcPr>
            <w:tcW w:w="2405" w:type="dxa"/>
          </w:tcPr>
          <w:p w14:paraId="30A1CD6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Pr>
          <w:p w14:paraId="30A1CD6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628B5" w14:paraId="30A1CD6D" w14:textId="77777777">
        <w:tc>
          <w:tcPr>
            <w:tcW w:w="2405" w:type="dxa"/>
          </w:tcPr>
          <w:p w14:paraId="30A1CD68"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Pr>
          <w:p w14:paraId="30A1CD69"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30A1CD6A" w14:textId="77777777" w:rsidR="00A628B5" w:rsidRDefault="00726FC7">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Achieve a Milestone by its Milestone </w:t>
            </w:r>
            <w:proofErr w:type="gramStart"/>
            <w:r>
              <w:rPr>
                <w:rFonts w:ascii="Arial" w:eastAsia="Arial" w:hAnsi="Arial" w:cs="Arial"/>
                <w:color w:val="000000"/>
                <w:sz w:val="24"/>
                <w:szCs w:val="24"/>
              </w:rPr>
              <w:t>Date;</w:t>
            </w:r>
            <w:proofErr w:type="gramEnd"/>
          </w:p>
          <w:p w14:paraId="30A1CD6B"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14:paraId="30A1CD6C" w14:textId="77777777" w:rsidR="00A628B5" w:rsidRDefault="00726FC7">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628B5" w14:paraId="30A1CD70" w14:textId="77777777">
        <w:tc>
          <w:tcPr>
            <w:tcW w:w="2405" w:type="dxa"/>
          </w:tcPr>
          <w:p w14:paraId="30A1CD6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14:paraId="30A1CD6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628B5" w14:paraId="30A1CD73" w14:textId="77777777">
        <w:tc>
          <w:tcPr>
            <w:tcW w:w="2405" w:type="dxa"/>
          </w:tcPr>
          <w:p w14:paraId="30A1CD71"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42" w:type="dxa"/>
          </w:tcPr>
          <w:p w14:paraId="30A1CD7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A628B5" w14:paraId="30A1CD76" w14:textId="77777777">
        <w:tc>
          <w:tcPr>
            <w:tcW w:w="2405" w:type="dxa"/>
          </w:tcPr>
          <w:p w14:paraId="30A1CD7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Pr>
          <w:p w14:paraId="30A1CD7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w:t>
            </w:r>
            <w:proofErr w:type="gramStart"/>
            <w:r>
              <w:rPr>
                <w:rFonts w:ascii="Arial" w:eastAsia="Arial" w:hAnsi="Arial" w:cs="Arial"/>
                <w:color w:val="000000"/>
                <w:sz w:val="24"/>
                <w:szCs w:val="24"/>
              </w:rPr>
              <w:t>consultants</w:t>
            </w:r>
            <w:proofErr w:type="gramEnd"/>
            <w:r>
              <w:rPr>
                <w:rFonts w:ascii="Arial" w:eastAsia="Arial" w:hAnsi="Arial" w:cs="Arial"/>
                <w:color w:val="000000"/>
                <w:sz w:val="24"/>
                <w:szCs w:val="24"/>
              </w:rPr>
              <w:t xml:space="preserve"> and contractors of the Supplier and/or of any Subcontractor engaged in the performance of the Supplier’s obligations under a Contract;</w:t>
            </w:r>
          </w:p>
        </w:tc>
      </w:tr>
      <w:tr w:rsidR="00A628B5" w14:paraId="30A1CD79" w14:textId="77777777">
        <w:tc>
          <w:tcPr>
            <w:tcW w:w="2405" w:type="dxa"/>
          </w:tcPr>
          <w:p w14:paraId="30A1CD7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“Supply Chain Management”</w:t>
            </w:r>
          </w:p>
        </w:tc>
        <w:tc>
          <w:tcPr>
            <w:tcW w:w="7342" w:type="dxa"/>
          </w:tcPr>
          <w:p w14:paraId="30A1CD78"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color w:val="202124"/>
                <w:sz w:val="24"/>
                <w:szCs w:val="24"/>
                <w:highlight w:val="white"/>
              </w:rPr>
              <w:t>is the handling of the entire production flow of a good or service to maximize quality, delivery, customer experience and cost-effectiveness;</w:t>
            </w:r>
          </w:p>
        </w:tc>
      </w:tr>
      <w:tr w:rsidR="00A628B5" w14:paraId="30A1CD7C" w14:textId="77777777">
        <w:tc>
          <w:tcPr>
            <w:tcW w:w="2405" w:type="dxa"/>
          </w:tcPr>
          <w:p w14:paraId="30A1CD7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14:paraId="30A1CD7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sufficient information in writing to enable the Buyer to reasonably assess whether the Charges, Reimbursable </w:t>
            </w:r>
            <w:proofErr w:type="gramStart"/>
            <w:r>
              <w:rPr>
                <w:rFonts w:ascii="Arial" w:eastAsia="Arial" w:hAnsi="Arial" w:cs="Arial"/>
                <w:color w:val="000000"/>
                <w:sz w:val="24"/>
                <w:szCs w:val="24"/>
              </w:rPr>
              <w:t>Expenses</w:t>
            </w:r>
            <w:proofErr w:type="gramEnd"/>
            <w:r>
              <w:rPr>
                <w:rFonts w:ascii="Arial" w:eastAsia="Arial" w:hAnsi="Arial" w:cs="Arial"/>
                <w:color w:val="000000"/>
                <w:sz w:val="24"/>
                <w:szCs w:val="24"/>
              </w:rPr>
              <w:t xml:space="preserve"> and other sums due from the Buyer under the Call-Off Contract detailed in the information are properly payable;</w:t>
            </w:r>
          </w:p>
        </w:tc>
      </w:tr>
      <w:tr w:rsidR="00A628B5" w14:paraId="30A1CD83" w14:textId="77777777">
        <w:tc>
          <w:tcPr>
            <w:tcW w:w="2405" w:type="dxa"/>
          </w:tcPr>
          <w:p w14:paraId="30A1CD7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14:paraId="30A1CD7E" w14:textId="77777777" w:rsidR="00A628B5" w:rsidRDefault="00726FC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forms of taxation whether direct or </w:t>
            </w:r>
            <w:proofErr w:type="gramStart"/>
            <w:r>
              <w:rPr>
                <w:rFonts w:ascii="Arial" w:eastAsia="Arial" w:hAnsi="Arial" w:cs="Arial"/>
                <w:color w:val="000000"/>
                <w:sz w:val="24"/>
                <w:szCs w:val="24"/>
              </w:rPr>
              <w:t>indirect;</w:t>
            </w:r>
            <w:proofErr w:type="gramEnd"/>
          </w:p>
          <w:p w14:paraId="30A1CD7F" w14:textId="77777777" w:rsidR="00A628B5" w:rsidRDefault="00726FC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national insurance contributions in the United Kingdom and similar contributions or obligations in any other </w:t>
            </w:r>
            <w:proofErr w:type="gramStart"/>
            <w:r>
              <w:rPr>
                <w:rFonts w:ascii="Arial" w:eastAsia="Arial" w:hAnsi="Arial" w:cs="Arial"/>
                <w:color w:val="000000"/>
                <w:sz w:val="24"/>
                <w:szCs w:val="24"/>
              </w:rPr>
              <w:t>jurisdiction;</w:t>
            </w:r>
            <w:proofErr w:type="gramEnd"/>
          </w:p>
          <w:p w14:paraId="30A1CD80" w14:textId="77777777" w:rsidR="00A628B5" w:rsidRDefault="00726FC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 xml:space="preserve">pal charges, duties, imports, contributions. levies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and</w:t>
            </w:r>
          </w:p>
          <w:p w14:paraId="30A1CD81" w14:textId="77777777" w:rsidR="00A628B5" w:rsidRDefault="00726FC7">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w:t>
            </w:r>
            <w:proofErr w:type="gramStart"/>
            <w:r>
              <w:rPr>
                <w:rFonts w:ascii="Arial" w:eastAsia="Arial" w:hAnsi="Arial" w:cs="Arial"/>
                <w:color w:val="000000"/>
                <w:sz w:val="24"/>
                <w:szCs w:val="24"/>
              </w:rPr>
              <w:t>charges</w:t>
            </w:r>
            <w:proofErr w:type="gramEnd"/>
            <w:r>
              <w:rPr>
                <w:rFonts w:ascii="Arial" w:eastAsia="Arial" w:hAnsi="Arial" w:cs="Arial"/>
                <w:color w:val="000000"/>
                <w:sz w:val="24"/>
                <w:szCs w:val="24"/>
              </w:rPr>
              <w:t xml:space="preserve"> or costs relating to any of the </w:t>
            </w:r>
            <w:r>
              <w:rPr>
                <w:rFonts w:ascii="Arial" w:eastAsia="Arial" w:hAnsi="Arial" w:cs="Arial"/>
                <w:color w:val="000000"/>
                <w:sz w:val="24"/>
                <w:szCs w:val="24"/>
              </w:rPr>
              <w:t>above,</w:t>
            </w:r>
          </w:p>
          <w:p w14:paraId="30A1CD82"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A628B5" w14:paraId="30A1CD86" w14:textId="77777777">
        <w:tc>
          <w:tcPr>
            <w:tcW w:w="2405" w:type="dxa"/>
          </w:tcPr>
          <w:p w14:paraId="30A1CD84"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42" w:type="dxa"/>
          </w:tcPr>
          <w:p w14:paraId="30A1CD85"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w:t>
            </w:r>
            <w:proofErr w:type="gramStart"/>
            <w:r>
              <w:rPr>
                <w:rFonts w:ascii="Arial" w:eastAsia="Arial" w:hAnsi="Arial" w:cs="Arial"/>
                <w:color w:val="000000"/>
                <w:sz w:val="24"/>
                <w:szCs w:val="24"/>
              </w:rPr>
              <w:t>termination;</w:t>
            </w:r>
            <w:proofErr w:type="gramEnd"/>
            <w:r>
              <w:rPr>
                <w:rFonts w:ascii="Arial" w:eastAsia="Arial" w:hAnsi="Arial" w:cs="Arial"/>
                <w:color w:val="000000"/>
                <w:sz w:val="24"/>
                <w:szCs w:val="24"/>
              </w:rPr>
              <w:t xml:space="preserve"> </w:t>
            </w:r>
          </w:p>
        </w:tc>
      </w:tr>
      <w:tr w:rsidR="00A628B5" w14:paraId="30A1CD89" w14:textId="77777777">
        <w:tc>
          <w:tcPr>
            <w:tcW w:w="2405" w:type="dxa"/>
          </w:tcPr>
          <w:p w14:paraId="30A1CD87"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342" w:type="dxa"/>
          </w:tcPr>
          <w:p w14:paraId="30A1CD88"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628B5" w14:paraId="30A1CD8E" w14:textId="77777777">
        <w:tc>
          <w:tcPr>
            <w:tcW w:w="2405" w:type="dxa"/>
          </w:tcPr>
          <w:p w14:paraId="30A1CD8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14:paraId="30A1CD8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30A1CD8C" w14:textId="77777777" w:rsidR="00A628B5" w:rsidRDefault="00726FC7">
            <w:pPr>
              <w:numPr>
                <w:ilvl w:val="1"/>
                <w:numId w:val="2"/>
              </w:numPr>
              <w:pBdr>
                <w:top w:val="nil"/>
                <w:left w:val="nil"/>
                <w:bottom w:val="nil"/>
                <w:right w:val="nil"/>
                <w:between w:val="nil"/>
              </w:pBdr>
              <w:tabs>
                <w:tab w:val="left" w:pos="-576"/>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30A1CD8D" w14:textId="77777777" w:rsidR="00A628B5" w:rsidRDefault="00726FC7">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628B5" w14:paraId="30A1CD91" w14:textId="77777777">
        <w:tc>
          <w:tcPr>
            <w:tcW w:w="2405" w:type="dxa"/>
          </w:tcPr>
          <w:p w14:paraId="30A1CD8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Pr>
          <w:p w14:paraId="30A1CD9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A628B5" w14:paraId="30A1CD94" w14:textId="77777777">
        <w:tc>
          <w:tcPr>
            <w:tcW w:w="2405" w:type="dxa"/>
          </w:tcPr>
          <w:p w14:paraId="30A1CD9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14:paraId="30A1CD9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w:t>
            </w:r>
            <w:r>
              <w:rPr>
                <w:rFonts w:ascii="Arial" w:eastAsia="Arial" w:hAnsi="Arial" w:cs="Arial"/>
                <w:color w:val="000000"/>
                <w:sz w:val="24"/>
                <w:szCs w:val="24"/>
              </w:rPr>
              <w:t xml:space="preserve"> party which is or will be used by the Supplier for the purpose of providing the Deliverables;</w:t>
            </w:r>
          </w:p>
        </w:tc>
      </w:tr>
      <w:tr w:rsidR="00A628B5" w14:paraId="30A1CD97" w14:textId="77777777">
        <w:tc>
          <w:tcPr>
            <w:tcW w:w="2405" w:type="dxa"/>
          </w:tcPr>
          <w:p w14:paraId="30A1CD9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14:paraId="30A1CD9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628B5" w14:paraId="30A1CD9D" w14:textId="77777777">
        <w:tc>
          <w:tcPr>
            <w:tcW w:w="2405" w:type="dxa"/>
          </w:tcPr>
          <w:p w14:paraId="30A1CD98" w14:textId="77777777" w:rsidR="00A628B5" w:rsidRDefault="00726FC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42" w:type="dxa"/>
          </w:tcPr>
          <w:p w14:paraId="30A1CD99" w14:textId="77777777" w:rsidR="00A628B5" w:rsidRDefault="00726FC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30A1CD9A" w14:textId="77777777" w:rsidR="00A628B5" w:rsidRDefault="00726FC7">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14:paraId="30A1CD9B" w14:textId="77777777" w:rsidR="00A628B5" w:rsidRDefault="00726FC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 xml:space="preserve">Commercially Sensitive </w:t>
            </w:r>
            <w:proofErr w:type="gramStart"/>
            <w:r>
              <w:rPr>
                <w:rFonts w:ascii="Arial" w:eastAsia="Arial" w:hAnsi="Arial" w:cs="Arial"/>
                <w:color w:val="000000"/>
                <w:sz w:val="24"/>
                <w:szCs w:val="24"/>
              </w:rPr>
              <w:t>Information;</w:t>
            </w:r>
            <w:proofErr w:type="gramEnd"/>
          </w:p>
          <w:p w14:paraId="30A1CD9C" w14:textId="77777777" w:rsidR="00A628B5" w:rsidRDefault="00A628B5">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A628B5" w14:paraId="30A1CDA0" w14:textId="77777777">
        <w:tc>
          <w:tcPr>
            <w:tcW w:w="2405" w:type="dxa"/>
          </w:tcPr>
          <w:p w14:paraId="30A1CD9E"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Pr>
          <w:p w14:paraId="30A1CD9F"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628B5" w14:paraId="30A1CDA3" w14:textId="77777777">
        <w:tc>
          <w:tcPr>
            <w:tcW w:w="2405" w:type="dxa"/>
          </w:tcPr>
          <w:p w14:paraId="30A1CDA1" w14:textId="77777777" w:rsidR="00A628B5" w:rsidRDefault="00726FC7">
            <w:pPr>
              <w:pBdr>
                <w:top w:val="nil"/>
                <w:left w:val="nil"/>
                <w:bottom w:val="nil"/>
                <w:right w:val="nil"/>
                <w:between w:val="nil"/>
              </w:pBdr>
              <w:spacing w:after="120"/>
              <w:ind w:left="-108"/>
              <w:rPr>
                <w:rFonts w:ascii="Arial" w:eastAsia="Arial" w:hAnsi="Arial" w:cs="Arial"/>
                <w:b/>
                <w:color w:val="202124"/>
                <w:sz w:val="24"/>
                <w:szCs w:val="24"/>
              </w:rPr>
            </w:pPr>
            <w:r>
              <w:rPr>
                <w:rFonts w:ascii="Arial" w:eastAsia="Arial" w:hAnsi="Arial" w:cs="Arial"/>
                <w:b/>
                <w:color w:val="202124"/>
                <w:sz w:val="24"/>
                <w:szCs w:val="24"/>
              </w:rPr>
              <w:t>“TUPE”</w:t>
            </w:r>
          </w:p>
        </w:tc>
        <w:tc>
          <w:tcPr>
            <w:tcW w:w="7342" w:type="dxa"/>
          </w:tcPr>
          <w:p w14:paraId="30A1CDA2" w14:textId="77777777" w:rsidR="00A628B5" w:rsidRDefault="00726FC7">
            <w:pPr>
              <w:spacing w:line="276" w:lineRule="auto"/>
              <w:rPr>
                <w:rFonts w:ascii="Arial" w:eastAsia="Arial" w:hAnsi="Arial" w:cs="Arial"/>
                <w:color w:val="202124"/>
                <w:sz w:val="24"/>
                <w:szCs w:val="24"/>
              </w:rPr>
            </w:pPr>
            <w:r>
              <w:rPr>
                <w:rFonts w:ascii="Arial" w:eastAsia="Arial" w:hAnsi="Arial" w:cs="Arial"/>
                <w:color w:val="202124"/>
                <w:sz w:val="24"/>
                <w:szCs w:val="24"/>
              </w:rPr>
              <w:t>Transfer of Undertakin</w:t>
            </w:r>
            <w:r>
              <w:rPr>
                <w:rFonts w:ascii="Arial" w:eastAsia="Arial" w:hAnsi="Arial" w:cs="Arial"/>
                <w:color w:val="202124"/>
                <w:sz w:val="24"/>
                <w:szCs w:val="24"/>
              </w:rPr>
              <w:t>gs (Protection of Employment) Regulations 2006 (SI 2006/246) as amended or replaced or any other regulations or UK legislation implementing the Acquired Rights Directive</w:t>
            </w:r>
          </w:p>
        </w:tc>
      </w:tr>
      <w:tr w:rsidR="00A628B5" w14:paraId="30A1CDA6" w14:textId="77777777">
        <w:tc>
          <w:tcPr>
            <w:tcW w:w="2405" w:type="dxa"/>
          </w:tcPr>
          <w:p w14:paraId="30A1CDA4" w14:textId="77777777" w:rsidR="00A628B5" w:rsidRDefault="00726FC7">
            <w:pPr>
              <w:pBdr>
                <w:top w:val="nil"/>
                <w:left w:val="nil"/>
                <w:bottom w:val="nil"/>
                <w:right w:val="nil"/>
                <w:between w:val="nil"/>
              </w:pBdr>
              <w:spacing w:after="120"/>
              <w:ind w:left="-108"/>
              <w:rPr>
                <w:rFonts w:ascii="Arial" w:eastAsia="Arial" w:hAnsi="Arial" w:cs="Arial"/>
                <w:b/>
                <w:color w:val="202124"/>
                <w:sz w:val="24"/>
                <w:szCs w:val="24"/>
              </w:rPr>
            </w:pPr>
            <w:r>
              <w:rPr>
                <w:rFonts w:ascii="Arial" w:eastAsia="Arial" w:hAnsi="Arial" w:cs="Arial"/>
                <w:b/>
                <w:color w:val="202124"/>
                <w:sz w:val="24"/>
                <w:szCs w:val="24"/>
              </w:rPr>
              <w:t>“United Kingdom”</w:t>
            </w:r>
          </w:p>
        </w:tc>
        <w:tc>
          <w:tcPr>
            <w:tcW w:w="7342" w:type="dxa"/>
          </w:tcPr>
          <w:p w14:paraId="30A1CDA5" w14:textId="77777777" w:rsidR="00A628B5" w:rsidRDefault="00726FC7">
            <w:pPr>
              <w:spacing w:line="276" w:lineRule="auto"/>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A628B5" w14:paraId="30A1CDA9" w14:textId="77777777">
        <w:tc>
          <w:tcPr>
            <w:tcW w:w="2405" w:type="dxa"/>
          </w:tcPr>
          <w:p w14:paraId="30A1CDA7" w14:textId="77777777" w:rsidR="00A628B5" w:rsidRDefault="00726FC7">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“Value Added Services”</w:t>
            </w:r>
          </w:p>
        </w:tc>
        <w:tc>
          <w:tcPr>
            <w:tcW w:w="7342" w:type="dxa"/>
          </w:tcPr>
          <w:p w14:paraId="30A1CDA8" w14:textId="77777777" w:rsidR="00A628B5" w:rsidRDefault="00726FC7">
            <w:pPr>
              <w:pBdr>
                <w:top w:val="nil"/>
                <w:left w:val="nil"/>
                <w:bottom w:val="nil"/>
                <w:right w:val="nil"/>
                <w:between w:val="nil"/>
              </w:pBdr>
              <w:tabs>
                <w:tab w:val="left" w:pos="-179"/>
                <w:tab w:val="left" w:pos="-9"/>
              </w:tabs>
              <w:spacing w:after="120"/>
              <w:ind w:left="170" w:hanging="170"/>
              <w:jc w:val="both"/>
              <w:rPr>
                <w:rFonts w:ascii="Arial" w:eastAsia="Arial" w:hAnsi="Arial" w:cs="Arial"/>
                <w:color w:val="000000"/>
                <w:sz w:val="24"/>
                <w:szCs w:val="24"/>
              </w:rPr>
            </w:pPr>
            <w:r>
              <w:rPr>
                <w:rFonts w:ascii="Arial" w:eastAsia="Arial" w:hAnsi="Arial" w:cs="Arial"/>
                <w:sz w:val="24"/>
                <w:szCs w:val="24"/>
              </w:rPr>
              <w:t>are features that can be added to a core product to enhance the user experience or a service that could function as a standalone product or feature</w:t>
            </w:r>
          </w:p>
        </w:tc>
      </w:tr>
      <w:tr w:rsidR="00A628B5" w14:paraId="30A1CDAC" w14:textId="77777777">
        <w:tc>
          <w:tcPr>
            <w:tcW w:w="2405" w:type="dxa"/>
          </w:tcPr>
          <w:p w14:paraId="30A1CDAA"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14:paraId="30A1CDAB"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628B5" w14:paraId="30A1CDAF" w14:textId="77777777">
        <w:tc>
          <w:tcPr>
            <w:tcW w:w="2405" w:type="dxa"/>
          </w:tcPr>
          <w:p w14:paraId="30A1CDAD"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42" w:type="dxa"/>
          </w:tcPr>
          <w:p w14:paraId="30A1CDAE"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628B5" w14:paraId="30A1CDB2" w14:textId="77777777">
        <w:tc>
          <w:tcPr>
            <w:tcW w:w="2405" w:type="dxa"/>
          </w:tcPr>
          <w:p w14:paraId="30A1CDB0"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14:paraId="30A1CDB1"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628B5" w14:paraId="30A1CDB5" w14:textId="77777777">
        <w:tc>
          <w:tcPr>
            <w:tcW w:w="2405" w:type="dxa"/>
          </w:tcPr>
          <w:p w14:paraId="30A1CDB3"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14:paraId="30A1CDB4"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628B5" w14:paraId="30A1CDB8" w14:textId="77777777">
        <w:tc>
          <w:tcPr>
            <w:tcW w:w="2405" w:type="dxa"/>
          </w:tcPr>
          <w:p w14:paraId="30A1CDB6"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Pr>
          <w:p w14:paraId="30A1CDB7"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non-governmental organisation that is value-driven and which principally reinvests its surpluses to further social, </w:t>
            </w:r>
            <w:proofErr w:type="gramStart"/>
            <w:r>
              <w:rPr>
                <w:rFonts w:ascii="Arial" w:eastAsia="Arial" w:hAnsi="Arial" w:cs="Arial"/>
                <w:color w:val="000000"/>
                <w:sz w:val="24"/>
                <w:szCs w:val="24"/>
              </w:rPr>
              <w:t>environmental</w:t>
            </w:r>
            <w:proofErr w:type="gramEnd"/>
            <w:r>
              <w:rPr>
                <w:rFonts w:ascii="Arial" w:eastAsia="Arial" w:hAnsi="Arial" w:cs="Arial"/>
                <w:color w:val="000000"/>
                <w:sz w:val="24"/>
                <w:szCs w:val="24"/>
              </w:rPr>
              <w:t xml:space="preserve"> or cultural objectives;</w:t>
            </w:r>
          </w:p>
        </w:tc>
      </w:tr>
      <w:tr w:rsidR="00A628B5" w14:paraId="30A1CDBB" w14:textId="77777777">
        <w:tc>
          <w:tcPr>
            <w:tcW w:w="2405" w:type="dxa"/>
          </w:tcPr>
          <w:p w14:paraId="30A1CDB9"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“WCAG Principles”</w:t>
            </w:r>
          </w:p>
        </w:tc>
        <w:tc>
          <w:tcPr>
            <w:tcW w:w="7342" w:type="dxa"/>
          </w:tcPr>
          <w:p w14:paraId="30A1CDBA" w14:textId="77777777" w:rsidR="00A628B5" w:rsidRDefault="00726FC7">
            <w:pPr>
              <w:spacing w:line="276" w:lineRule="auto"/>
              <w:rPr>
                <w:rFonts w:ascii="Arial" w:eastAsia="Arial" w:hAnsi="Arial" w:cs="Arial"/>
                <w:color w:val="000000"/>
                <w:sz w:val="24"/>
                <w:szCs w:val="24"/>
              </w:rPr>
            </w:pPr>
            <w:r>
              <w:rPr>
                <w:rFonts w:ascii="Arial" w:eastAsia="Arial" w:hAnsi="Arial" w:cs="Arial"/>
                <w:color w:val="202124"/>
                <w:sz w:val="24"/>
                <w:szCs w:val="24"/>
                <w:highlight w:val="white"/>
              </w:rPr>
              <w:t>the Web Content Accessibility Guidelines (WCAG) are organized by four main principles, which state that content must be POUR: Perceivable, Operable, Understandable, and Robust. WCAG is the most-referenced set of standards in website acces</w:t>
            </w:r>
            <w:r>
              <w:rPr>
                <w:rFonts w:ascii="Arial" w:eastAsia="Arial" w:hAnsi="Arial" w:cs="Arial"/>
                <w:color w:val="202124"/>
                <w:sz w:val="24"/>
                <w:szCs w:val="24"/>
                <w:highlight w:val="white"/>
              </w:rPr>
              <w:t>sibility lawsuits and is widely considered the best way to achieve accessibility;</w:t>
            </w:r>
          </w:p>
        </w:tc>
      </w:tr>
      <w:tr w:rsidR="00A628B5" w14:paraId="30A1CDBE" w14:textId="77777777">
        <w:tc>
          <w:tcPr>
            <w:tcW w:w="2405" w:type="dxa"/>
          </w:tcPr>
          <w:p w14:paraId="30A1CDBC"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42" w:type="dxa"/>
          </w:tcPr>
          <w:p w14:paraId="30A1CDBD"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w:t>
            </w:r>
            <w:r>
              <w:rPr>
                <w:rFonts w:ascii="Arial" w:eastAsia="Arial" w:hAnsi="Arial" w:cs="Arial"/>
                <w:color w:val="000000"/>
                <w:sz w:val="24"/>
                <w:szCs w:val="24"/>
              </w:rPr>
              <w:t>lic Appointees) (https://www.gov.uk/government/publications/procurement-policy-note-0815-tax-arrangements-of-appointees) applies in respect of the Deliverables;</w:t>
            </w:r>
          </w:p>
        </w:tc>
      </w:tr>
      <w:tr w:rsidR="00A628B5" w14:paraId="30A1CDC1" w14:textId="77777777">
        <w:tc>
          <w:tcPr>
            <w:tcW w:w="2405" w:type="dxa"/>
          </w:tcPr>
          <w:p w14:paraId="30A1CDBF"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Pr>
          <w:p w14:paraId="30A1CDC0"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628B5" w14:paraId="30A1CDC4" w14:textId="77777777">
        <w:tc>
          <w:tcPr>
            <w:tcW w:w="2405" w:type="dxa"/>
          </w:tcPr>
          <w:p w14:paraId="30A1CDC2"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gramStart"/>
            <w:r>
              <w:rPr>
                <w:rFonts w:ascii="Arial" w:eastAsia="Arial" w:hAnsi="Arial" w:cs="Arial"/>
                <w:b/>
                <w:color w:val="000000"/>
                <w:sz w:val="24"/>
                <w:szCs w:val="24"/>
              </w:rPr>
              <w:t>Work Day</w:t>
            </w:r>
            <w:proofErr w:type="gramEnd"/>
            <w:r>
              <w:rPr>
                <w:rFonts w:ascii="Arial" w:eastAsia="Arial" w:hAnsi="Arial" w:cs="Arial"/>
                <w:b/>
                <w:color w:val="000000"/>
                <w:sz w:val="24"/>
                <w:szCs w:val="24"/>
              </w:rPr>
              <w:t>"</w:t>
            </w:r>
          </w:p>
        </w:tc>
        <w:tc>
          <w:tcPr>
            <w:tcW w:w="7342" w:type="dxa"/>
          </w:tcPr>
          <w:p w14:paraId="30A1CDC3"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w:t>
            </w:r>
            <w:r>
              <w:rPr>
                <w:rFonts w:ascii="Arial" w:eastAsia="Arial" w:hAnsi="Arial" w:cs="Arial"/>
                <w:color w:val="000000"/>
                <w:sz w:val="24"/>
                <w:szCs w:val="24"/>
              </w:rPr>
              <w:t xml:space="preserve"> the same </w:t>
            </w:r>
            <w:proofErr w:type="gramStart"/>
            <w:r>
              <w:rPr>
                <w:rFonts w:ascii="Arial" w:eastAsia="Arial" w:hAnsi="Arial" w:cs="Arial"/>
                <w:color w:val="000000"/>
                <w:sz w:val="24"/>
                <w:szCs w:val="24"/>
              </w:rPr>
              <w:t>day;</w:t>
            </w:r>
            <w:proofErr w:type="gramEnd"/>
            <w:r>
              <w:rPr>
                <w:rFonts w:ascii="Arial" w:eastAsia="Arial" w:hAnsi="Arial" w:cs="Arial"/>
                <w:color w:val="000000"/>
                <w:sz w:val="24"/>
                <w:szCs w:val="24"/>
              </w:rPr>
              <w:t xml:space="preserve"> and</w:t>
            </w:r>
          </w:p>
        </w:tc>
      </w:tr>
      <w:tr w:rsidR="00A628B5" w14:paraId="30A1CDC7" w14:textId="77777777">
        <w:tc>
          <w:tcPr>
            <w:tcW w:w="2405" w:type="dxa"/>
          </w:tcPr>
          <w:p w14:paraId="30A1CDC5" w14:textId="77777777" w:rsidR="00A628B5" w:rsidRDefault="00726FC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14:paraId="30A1CDC6" w14:textId="77777777" w:rsidR="00A628B5" w:rsidRDefault="00726FC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30A1CDC8" w14:textId="77777777" w:rsidR="00A628B5" w:rsidRDefault="00A628B5">
      <w:pPr>
        <w:spacing w:after="0" w:line="240" w:lineRule="auto"/>
        <w:rPr>
          <w:rFonts w:ascii="Arial" w:eastAsia="Arial" w:hAnsi="Arial" w:cs="Arial"/>
          <w:sz w:val="24"/>
          <w:szCs w:val="24"/>
        </w:rPr>
      </w:pPr>
    </w:p>
    <w:sectPr w:rsidR="00A628B5">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E60F" w14:textId="77777777" w:rsidR="00726FC7" w:rsidRDefault="00726FC7">
      <w:pPr>
        <w:spacing w:after="0" w:line="240" w:lineRule="auto"/>
      </w:pPr>
      <w:r>
        <w:separator/>
      </w:r>
    </w:p>
  </w:endnote>
  <w:endnote w:type="continuationSeparator" w:id="0">
    <w:p w14:paraId="52399073" w14:textId="77777777" w:rsidR="00726FC7" w:rsidRDefault="00726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CDCB" w14:textId="77777777" w:rsidR="00A628B5" w:rsidRDefault="00726FC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RM6181</w:t>
    </w:r>
    <w:r>
      <w:rPr>
        <w:rFonts w:ascii="Arial" w:eastAsia="Arial" w:hAnsi="Arial" w:cs="Arial"/>
        <w:sz w:val="20"/>
        <w:szCs w:val="20"/>
      </w:rPr>
      <w:tab/>
      <w:t xml:space="preserve">                                           </w:t>
    </w:r>
  </w:p>
  <w:p w14:paraId="30A1CDCC" w14:textId="69D4D3DE" w:rsidR="00A628B5" w:rsidRDefault="00726F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F51B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0A1CDCD" w14:textId="77777777" w:rsidR="00A628B5" w:rsidRDefault="00726F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CDD0" w14:textId="77777777" w:rsidR="00A628B5" w:rsidRDefault="00726FC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30A1CDD1" w14:textId="77777777" w:rsidR="00A628B5" w:rsidRDefault="00726FC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30A1CDD2" w14:textId="77777777" w:rsidR="00A628B5" w:rsidRDefault="00726F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EF40" w14:textId="77777777" w:rsidR="00726FC7" w:rsidRDefault="00726FC7">
      <w:pPr>
        <w:spacing w:after="0" w:line="240" w:lineRule="auto"/>
      </w:pPr>
      <w:r>
        <w:separator/>
      </w:r>
    </w:p>
  </w:footnote>
  <w:footnote w:type="continuationSeparator" w:id="0">
    <w:p w14:paraId="063764E4" w14:textId="77777777" w:rsidR="00726FC7" w:rsidRDefault="00726F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CDC9" w14:textId="77777777" w:rsidR="00A628B5" w:rsidRDefault="00726FC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30A1CDCA" w14:textId="77777777" w:rsidR="00A628B5" w:rsidRDefault="00726FC7">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CDCE" w14:textId="77777777" w:rsidR="00A628B5" w:rsidRDefault="00726FC7">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30A1CDCF" w14:textId="77777777" w:rsidR="00A628B5" w:rsidRDefault="00726FC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65CAE"/>
    <w:multiLevelType w:val="multilevel"/>
    <w:tmpl w:val="AC54C59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02D039D"/>
    <w:multiLevelType w:val="multilevel"/>
    <w:tmpl w:val="7AE044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CD33235"/>
    <w:multiLevelType w:val="multilevel"/>
    <w:tmpl w:val="9E967E12"/>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9BF5AB3"/>
    <w:multiLevelType w:val="multilevel"/>
    <w:tmpl w:val="7ACE9C6C"/>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4A14301F"/>
    <w:multiLevelType w:val="multilevel"/>
    <w:tmpl w:val="B11AA432"/>
    <w:lvl w:ilvl="0">
      <w:start w:val="1"/>
      <w:numFmt w:val="lowerLetter"/>
      <w:pStyle w:val="ORDERFORML1PraraNo"/>
      <w:lvlText w:val="%1)"/>
      <w:lvlJc w:val="left"/>
      <w:pPr>
        <w:ind w:left="432" w:hanging="262"/>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4C260437"/>
    <w:multiLevelType w:val="multilevel"/>
    <w:tmpl w:val="AFFE1C5E"/>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1FB16CA"/>
    <w:multiLevelType w:val="multilevel"/>
    <w:tmpl w:val="083EA1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2"/>
  </w:num>
  <w:num w:numId="4">
    <w:abstractNumId w:val="0"/>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8B5"/>
    <w:rsid w:val="00726FC7"/>
    <w:rsid w:val="009F51B6"/>
    <w:rsid w:val="00A628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0A1C999"/>
  <w15:docId w15:val="{CC0CEBAA-540A-4231-BF31-CDB14FB1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5"/>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style>
  <w:style w:type="table" w:customStyle="1" w:styleId="a3">
    <w:basedOn w:val="TableNormal"/>
    <w:pPr>
      <w:spacing w:after="0" w:line="240" w:lineRule="auto"/>
    </w:pPr>
    <w:rPr>
      <w:sz w:val="20"/>
      <w:szCs w:val="20"/>
    </w:rPr>
    <w:tblPr>
      <w:tblStyleRowBandSize w:val="1"/>
      <w:tblStyleColBandSize w:val="1"/>
    </w:tblPr>
  </w:style>
  <w:style w:type="table" w:customStyle="1" w:styleId="a4">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f1jnmKI9mQK6D6cr1DsQT+PJYQ==">AMUW2mVEYWMUqwjvODiwW15Y4FuuJQTgLbhZOiTrpSgW/oLcCGH3Bu+/2a/ts2IbhnQcIZEnTGnAUwX/hXOV76aKHdyOpeWZ4/aUB3Jao9EKKw8OhV6lTwe7gzMhZhC5ph4LfnZUmlqT2y+Zlk8uJ7qiKgrEY+d4WxmgJyxZYdXcn1d3q+gBNlZR5v6VjHaI31wy12RqCYCT</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F5AA249-1646-4CFB-BD77-7233FD69A5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963C5B-B70D-409E-891C-51149D287F95}">
  <ds:schemaRefs>
    <ds:schemaRef ds:uri="http://schemas.microsoft.com/sharepoint/v3/contenttype/forms"/>
  </ds:schemaRefs>
</ds:datastoreItem>
</file>

<file path=customXml/itemProps4.xml><?xml version="1.0" encoding="utf-8"?>
<ds:datastoreItem xmlns:ds="http://schemas.openxmlformats.org/officeDocument/2006/customXml" ds:itemID="{6318A974-D843-491A-9B0F-B01355DD4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80051</vt:lpwstr>
  </property>
  <property fmtid="{D5CDD505-2E9C-101B-9397-08002B2CF9AE}" pid="4" name="OptimizationTime">
    <vt:lpwstr>20220804_1024</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10823</Words>
  <Characters>61694</Characters>
  <Application>Microsoft Office Word</Application>
  <DocSecurity>0</DocSecurity>
  <Lines>514</Lines>
  <Paragraphs>144</Paragraphs>
  <ScaleCrop>false</ScaleCrop>
  <Company/>
  <LinksUpToDate>false</LinksUpToDate>
  <CharactersWithSpaces>72373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2021-01-13T10:21:00Z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0x01010081A882439F723E499D591D7C01441CD7</vt:lpwstr>
  </property>
</Properties>
</file>